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8E343">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64633150">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410BD0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b/>
          <w:bCs w:val="0"/>
          <w:color w:val="auto"/>
          <w:sz w:val="72"/>
          <w:szCs w:val="72"/>
          <w:highlight w:val="none"/>
          <w:lang w:eastAsia="zh-CN"/>
        </w:rPr>
      </w:pPr>
      <w:r>
        <w:rPr>
          <w:rFonts w:hint="default" w:ascii="Times New Roman" w:hAnsi="Times New Roman" w:eastAsia="方正小标宋简体" w:cs="Times New Roman"/>
          <w:b/>
          <w:bCs w:val="0"/>
          <w:color w:val="auto"/>
          <w:sz w:val="72"/>
          <w:szCs w:val="72"/>
          <w:highlight w:val="none"/>
          <w:lang w:eastAsia="zh-CN"/>
        </w:rPr>
        <w:t>四川省</w:t>
      </w:r>
      <w:bookmarkStart w:id="15" w:name="_GoBack"/>
      <w:bookmarkEnd w:id="15"/>
      <w:r>
        <w:rPr>
          <w:rFonts w:hint="default" w:ascii="Times New Roman" w:hAnsi="Times New Roman" w:eastAsia="方正小标宋简体" w:cs="Times New Roman"/>
          <w:b/>
          <w:bCs w:val="0"/>
          <w:color w:val="auto"/>
          <w:sz w:val="72"/>
          <w:szCs w:val="72"/>
          <w:highlight w:val="none"/>
          <w:lang w:eastAsia="zh-CN"/>
        </w:rPr>
        <w:t>人大教科文卫工作</w:t>
      </w:r>
    </w:p>
    <w:p w14:paraId="64D269E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b/>
          <w:bCs w:val="0"/>
          <w:color w:val="auto"/>
          <w:sz w:val="72"/>
          <w:szCs w:val="72"/>
          <w:highlight w:val="none"/>
          <w:lang w:eastAsia="zh-CN"/>
        </w:rPr>
      </w:pPr>
      <w:r>
        <w:rPr>
          <w:rFonts w:hint="default" w:ascii="Times New Roman" w:hAnsi="Times New Roman" w:eastAsia="方正小标宋简体" w:cs="Times New Roman"/>
          <w:b/>
          <w:bCs w:val="0"/>
          <w:color w:val="auto"/>
          <w:sz w:val="72"/>
          <w:szCs w:val="72"/>
          <w:highlight w:val="none"/>
          <w:lang w:eastAsia="zh-CN"/>
        </w:rPr>
        <w:t>优秀案例汇编</w:t>
      </w:r>
    </w:p>
    <w:p w14:paraId="790D23BD">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8"/>
          <w:szCs w:val="48"/>
          <w:highlight w:val="none"/>
          <w:lang w:eastAsia="zh-CN"/>
        </w:rPr>
      </w:pPr>
    </w:p>
    <w:p w14:paraId="720F7F66">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25CAEB04">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1BE87BC7">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17962F7B">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2AEA9A9D">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535CF357">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6564B348">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0082F790">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48EF9DEE">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45E2C437">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highlight w:val="none"/>
          <w:lang w:eastAsia="zh-CN"/>
        </w:rPr>
      </w:pPr>
    </w:p>
    <w:p w14:paraId="7F82AB2A">
      <w:pPr>
        <w:keepLines w:val="0"/>
        <w:pageBreakBefore w:val="0"/>
        <w:kinsoku/>
        <w:wordWrap/>
        <w:topLinePunct w:val="0"/>
        <w:autoSpaceDE/>
        <w:autoSpaceDN/>
        <w:bidi w:val="0"/>
        <w:jc w:val="center"/>
        <w:rPr>
          <w:rFonts w:hint="default" w:ascii="Times New Roman" w:hAnsi="Times New Roman" w:eastAsia="方正楷体简体" w:cs="Times New Roman"/>
          <w:b/>
          <w:bCs w:val="0"/>
          <w:color w:val="auto"/>
          <w:sz w:val="36"/>
          <w:szCs w:val="36"/>
          <w:highlight w:val="none"/>
          <w:lang w:eastAsia="zh-CN"/>
        </w:rPr>
      </w:pPr>
      <w:r>
        <w:rPr>
          <w:rFonts w:hint="default" w:ascii="Times New Roman" w:hAnsi="Times New Roman" w:eastAsia="方正楷体简体" w:cs="Times New Roman"/>
          <w:b/>
          <w:bCs w:val="0"/>
          <w:color w:val="auto"/>
          <w:sz w:val="36"/>
          <w:szCs w:val="36"/>
          <w:highlight w:val="none"/>
          <w:lang w:eastAsia="zh-CN"/>
        </w:rPr>
        <w:t>四川省人大教科文卫委</w:t>
      </w:r>
    </w:p>
    <w:p w14:paraId="7AB5F58F">
      <w:pPr>
        <w:keepLines w:val="0"/>
        <w:pageBreakBefore w:val="0"/>
        <w:kinsoku/>
        <w:wordWrap/>
        <w:topLinePunct w:val="0"/>
        <w:autoSpaceDE/>
        <w:autoSpaceDN/>
        <w:bidi w:val="0"/>
        <w:jc w:val="center"/>
        <w:rPr>
          <w:rFonts w:hint="default" w:ascii="Times New Roman" w:hAnsi="Times New Roman" w:eastAsia="方正楷体简体" w:cs="Times New Roman"/>
          <w:b/>
          <w:bCs w:val="0"/>
          <w:color w:val="auto"/>
          <w:sz w:val="36"/>
          <w:szCs w:val="36"/>
          <w:highlight w:val="none"/>
          <w:lang w:val="en-US" w:eastAsia="zh-CN"/>
        </w:rPr>
      </w:pPr>
      <w:r>
        <w:rPr>
          <w:rFonts w:hint="default" w:ascii="Times New Roman" w:hAnsi="Times New Roman" w:eastAsia="方正楷体简体" w:cs="Times New Roman"/>
          <w:b/>
          <w:bCs w:val="0"/>
          <w:color w:val="auto"/>
          <w:sz w:val="36"/>
          <w:szCs w:val="36"/>
          <w:highlight w:val="none"/>
          <w:lang w:val="en-US" w:eastAsia="zh-CN"/>
        </w:rPr>
        <w:t>2024年10月</w:t>
      </w:r>
    </w:p>
    <w:p w14:paraId="14A37F17">
      <w:pPr>
        <w:keepLines w:val="0"/>
        <w:pageBreakBefore w:val="0"/>
        <w:kinsoku/>
        <w:wordWrap/>
        <w:topLinePunct w:val="0"/>
        <w:autoSpaceDE/>
        <w:autoSpaceDN/>
        <w:bidi w:val="0"/>
        <w:rPr>
          <w:rFonts w:hint="default" w:ascii="Times New Roman" w:hAnsi="Times New Roman" w:cs="Times New Roman"/>
          <w:b/>
          <w:bCs w:val="0"/>
          <w:color w:val="auto"/>
          <w:lang w:eastAsia="zh-CN"/>
        </w:rPr>
        <w:sectPr>
          <w:footerReference r:id="rId3" w:type="default"/>
          <w:pgSz w:w="11906" w:h="16838"/>
          <w:pgMar w:top="2098" w:right="1587" w:bottom="1814" w:left="1587" w:header="851" w:footer="992" w:gutter="0"/>
          <w:cols w:space="425" w:num="1"/>
          <w:docGrid w:type="lines" w:linePitch="312" w:charSpace="0"/>
        </w:sectPr>
      </w:pPr>
    </w:p>
    <w:p w14:paraId="344BB98D">
      <w:pPr>
        <w:keepLines w:val="0"/>
        <w:pageBreakBefore w:val="0"/>
        <w:kinsoku/>
        <w:wordWrap/>
        <w:topLinePunct w:val="0"/>
        <w:autoSpaceDE/>
        <w:autoSpaceDN/>
        <w:bidi w:val="0"/>
        <w:rPr>
          <w:rFonts w:hint="default" w:ascii="Times New Roman" w:hAnsi="Times New Roman" w:cs="Times New Roman"/>
          <w:b/>
          <w:bCs w:val="0"/>
          <w:color w:val="auto"/>
          <w:lang w:eastAsia="zh-CN"/>
        </w:rPr>
      </w:pPr>
    </w:p>
    <w:p w14:paraId="68DEC89B">
      <w:pPr>
        <w:keepLines w:val="0"/>
        <w:pageBreakBefore w:val="0"/>
        <w:kinsoku/>
        <w:wordWrap/>
        <w:overflowPunct w:val="0"/>
        <w:topLinePunct w:val="0"/>
        <w:autoSpaceDE/>
        <w:autoSpaceDN/>
        <w:bidi w:val="0"/>
        <w:adjustRightInd w:val="0"/>
        <w:snapToGrid w:val="0"/>
        <w:spacing w:line="580" w:lineRule="exact"/>
        <w:ind w:firstLine="643" w:firstLineChars="200"/>
        <w:rPr>
          <w:rFonts w:hint="default" w:ascii="Times New Roman" w:hAnsi="Times New Roman" w:eastAsia="方正仿宋简体" w:cs="Times New Roman"/>
          <w:b/>
          <w:color w:val="auto"/>
          <w:sz w:val="32"/>
          <w:szCs w:val="32"/>
          <w:lang w:val="en-US" w:eastAsia="zh-CN"/>
        </w:rPr>
        <w:sectPr>
          <w:footerReference r:id="rId4" w:type="default"/>
          <w:pgSz w:w="11906" w:h="16838"/>
          <w:pgMar w:top="2098" w:right="1587" w:bottom="1814" w:left="1587" w:header="851" w:footer="992" w:gutter="0"/>
          <w:pgNumType w:start="1"/>
          <w:cols w:space="425" w:num="1"/>
          <w:docGrid w:type="lines" w:linePitch="312" w:charSpace="0"/>
        </w:sectPr>
      </w:pPr>
    </w:p>
    <w:p w14:paraId="560B02D2">
      <w:pPr>
        <w:keepLines w:val="0"/>
        <w:pageBreakBefore w:val="0"/>
        <w:kinsoku/>
        <w:wordWrap/>
        <w:overflowPunct w:val="0"/>
        <w:topLinePunct w:val="0"/>
        <w:autoSpaceDE/>
        <w:autoSpaceDN/>
        <w:bidi w:val="0"/>
        <w:adjustRightInd w:val="0"/>
        <w:snapToGrid w:val="0"/>
        <w:spacing w:line="580" w:lineRule="exact"/>
        <w:ind w:firstLine="643" w:firstLineChars="200"/>
        <w:rPr>
          <w:rFonts w:hint="default" w:ascii="Times New Roman" w:hAnsi="Times New Roman" w:eastAsia="方正仿宋简体" w:cs="Times New Roman"/>
          <w:b/>
          <w:color w:val="auto"/>
          <w:sz w:val="32"/>
          <w:szCs w:val="32"/>
          <w:lang w:val="en-US" w:eastAsia="zh-CN"/>
        </w:rPr>
      </w:pPr>
    </w:p>
    <w:p w14:paraId="26C222C4">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r>
        <w:rPr>
          <w:rFonts w:hint="default" w:ascii="Times New Roman" w:hAnsi="Times New Roman" w:eastAsia="方正小标宋简体" w:cs="Times New Roman"/>
          <w:b/>
          <w:bCs w:val="0"/>
          <w:color w:val="auto"/>
          <w:highlight w:val="none"/>
          <w:lang w:val="en-US" w:eastAsia="zh-CN"/>
        </w:rPr>
        <w:t>前  言</w:t>
      </w:r>
    </w:p>
    <w:p w14:paraId="3E1C8D2B">
      <w:pPr>
        <w:keepLines w:val="0"/>
        <w:pageBreakBefore w:val="0"/>
        <w:kinsoku/>
        <w:wordWrap/>
        <w:overflowPunct w:val="0"/>
        <w:topLinePunct w:val="0"/>
        <w:autoSpaceDE/>
        <w:autoSpaceDN/>
        <w:bidi w:val="0"/>
        <w:adjustRightInd w:val="0"/>
        <w:snapToGrid w:val="0"/>
        <w:spacing w:line="580" w:lineRule="exact"/>
        <w:ind w:firstLine="643" w:firstLineChars="200"/>
        <w:rPr>
          <w:rFonts w:hint="default" w:ascii="Times New Roman" w:hAnsi="Times New Roman" w:eastAsia="方正仿宋简体" w:cs="Times New Roman"/>
          <w:b/>
          <w:color w:val="auto"/>
          <w:sz w:val="32"/>
          <w:szCs w:val="32"/>
          <w:lang w:val="en-US" w:eastAsia="zh-CN"/>
        </w:rPr>
      </w:pPr>
    </w:p>
    <w:p w14:paraId="76108C2C">
      <w:pPr>
        <w:keepLines w:val="0"/>
        <w:pageBreakBefore w:val="0"/>
        <w:kinsoku/>
        <w:wordWrap/>
        <w:overflowPunct w:val="0"/>
        <w:topLinePunct w:val="0"/>
        <w:autoSpaceDE/>
        <w:autoSpaceDN/>
        <w:bidi w:val="0"/>
        <w:adjustRightInd w:val="0"/>
        <w:snapToGrid w:val="0"/>
        <w:spacing w:line="580" w:lineRule="exact"/>
        <w:ind w:firstLine="643" w:firstLineChars="200"/>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近年来，全省各级人大</w:t>
      </w:r>
      <w:r>
        <w:rPr>
          <w:rFonts w:hint="default" w:ascii="Times New Roman" w:hAnsi="Times New Roman" w:eastAsia="方正楷体简体" w:cs="Times New Roman"/>
          <w:b/>
          <w:color w:val="auto"/>
          <w:sz w:val="32"/>
          <w:szCs w:val="32"/>
        </w:rPr>
        <w:t>常委会坚持把人大教科文卫工作放在坚持好完善好运行好人民代表大会制度中来思考，放在服务建设社会主义现代化四川全局中来谋划，稳中求进、守正创新，推动新时代地方人大教科文卫工作不断取得新成效。</w:t>
      </w:r>
      <w:r>
        <w:rPr>
          <w:rFonts w:hint="default" w:ascii="Times New Roman" w:hAnsi="Times New Roman" w:eastAsia="方正楷体简体" w:cs="Times New Roman"/>
          <w:b/>
          <w:color w:val="auto"/>
          <w:sz w:val="32"/>
          <w:szCs w:val="32"/>
          <w:lang w:val="en-US" w:eastAsia="zh-CN"/>
        </w:rPr>
        <w:t>围绕中心、服务大局、聚力民生，</w:t>
      </w:r>
      <w:r>
        <w:rPr>
          <w:rFonts w:hint="default" w:ascii="Times New Roman" w:hAnsi="Times New Roman" w:eastAsia="方正楷体简体" w:cs="Times New Roman"/>
          <w:b/>
          <w:color w:val="auto"/>
          <w:sz w:val="32"/>
          <w:szCs w:val="32"/>
        </w:rPr>
        <w:t>以高质量立法</w:t>
      </w:r>
      <w:r>
        <w:rPr>
          <w:rFonts w:hint="default" w:ascii="Times New Roman" w:hAnsi="Times New Roman" w:eastAsia="方正楷体简体" w:cs="Times New Roman"/>
          <w:b/>
          <w:color w:val="auto"/>
          <w:sz w:val="32"/>
          <w:szCs w:val="32"/>
          <w:lang w:val="en-US" w:eastAsia="zh-CN"/>
        </w:rPr>
        <w:t>强化法治保障</w:t>
      </w:r>
      <w:r>
        <w:rPr>
          <w:rFonts w:hint="default" w:ascii="Times New Roman" w:hAnsi="Times New Roman" w:eastAsia="方正楷体简体" w:cs="Times New Roman"/>
          <w:b/>
          <w:color w:val="auto"/>
          <w:sz w:val="32"/>
          <w:szCs w:val="32"/>
        </w:rPr>
        <w:t>，以高效能监督助推终端见效，</w:t>
      </w:r>
      <w:r>
        <w:rPr>
          <w:rFonts w:hint="default" w:ascii="Times New Roman" w:hAnsi="Times New Roman" w:eastAsia="方正楷体简体" w:cs="Times New Roman"/>
          <w:b/>
          <w:color w:val="auto"/>
          <w:sz w:val="32"/>
          <w:szCs w:val="32"/>
          <w:lang w:val="en-US" w:eastAsia="zh-CN"/>
        </w:rPr>
        <w:t>以高标准代表履职汇聚强大合力，</w:t>
      </w:r>
      <w:r>
        <w:rPr>
          <w:rFonts w:hint="default" w:ascii="Times New Roman" w:hAnsi="Times New Roman" w:eastAsia="方正楷体简体" w:cs="Times New Roman"/>
          <w:b/>
          <w:color w:val="auto"/>
          <w:sz w:val="32"/>
          <w:szCs w:val="32"/>
        </w:rPr>
        <w:t>以高水平调研形成有益建议，</w:t>
      </w:r>
      <w:r>
        <w:rPr>
          <w:rFonts w:hint="default" w:ascii="Times New Roman" w:hAnsi="Times New Roman" w:eastAsia="方正楷体简体" w:cs="Times New Roman"/>
          <w:b/>
          <w:color w:val="auto"/>
          <w:sz w:val="32"/>
          <w:szCs w:val="32"/>
          <w:lang w:val="en-US" w:eastAsia="zh-CN"/>
        </w:rPr>
        <w:t>为建设教育强省、科技强省、文化强省、健康四川积极贡献人大智慧和力量。</w:t>
      </w:r>
    </w:p>
    <w:p w14:paraId="6D5CEDDF">
      <w:pPr>
        <w:keepLines w:val="0"/>
        <w:pageBreakBefore w:val="0"/>
        <w:kinsoku/>
        <w:wordWrap/>
        <w:overflowPunct w:val="0"/>
        <w:topLinePunct w:val="0"/>
        <w:autoSpaceDE/>
        <w:autoSpaceDN/>
        <w:bidi w:val="0"/>
        <w:adjustRightInd w:val="0"/>
        <w:snapToGrid w:val="0"/>
        <w:spacing w:line="580" w:lineRule="exact"/>
        <w:ind w:firstLine="643" w:firstLineChars="200"/>
        <w:rPr>
          <w:rFonts w:hint="default" w:ascii="Times New Roman" w:hAnsi="Times New Roman" w:eastAsia="方正楷体简体" w:cs="Times New Roman"/>
          <w:b/>
          <w:color w:val="auto"/>
          <w:sz w:val="32"/>
          <w:szCs w:val="32"/>
          <w:lang w:val="en-US"/>
        </w:rPr>
      </w:pPr>
      <w:r>
        <w:rPr>
          <w:rFonts w:hint="default" w:ascii="Times New Roman" w:hAnsi="Times New Roman" w:eastAsia="方正楷体简体" w:cs="Times New Roman"/>
          <w:b/>
          <w:bCs w:val="0"/>
          <w:color w:val="auto"/>
          <w:sz w:val="32"/>
          <w:highlight w:val="none"/>
        </w:rPr>
        <w:t>为总结</w:t>
      </w:r>
      <w:r>
        <w:rPr>
          <w:rFonts w:hint="default" w:ascii="Times New Roman" w:hAnsi="Times New Roman" w:eastAsia="方正楷体简体" w:cs="Times New Roman"/>
          <w:b/>
          <w:bCs w:val="0"/>
          <w:color w:val="auto"/>
          <w:sz w:val="32"/>
          <w:highlight w:val="none"/>
          <w:lang w:eastAsia="zh-CN"/>
        </w:rPr>
        <w:t>全省人大教科文卫工作实践探索的成功经验，促进互学互鉴、汲优取长，推动全省人大教科文卫工作高质量发展</w:t>
      </w:r>
      <w:r>
        <w:rPr>
          <w:rFonts w:hint="default" w:ascii="Times New Roman" w:hAnsi="Times New Roman" w:eastAsia="方正楷体简体" w:cs="Times New Roman"/>
          <w:b/>
          <w:bCs w:val="0"/>
          <w:color w:val="auto"/>
          <w:sz w:val="32"/>
          <w:highlight w:val="none"/>
          <w:lang w:val="en-US" w:eastAsia="zh-CN"/>
        </w:rPr>
        <w:t>，省人大教科文卫委面向21个市（州）、16个定点联系县（区、市）人大常委会征集地方人大教科文卫优秀工作案例。经推荐申报、汇总初核、集体研究等环节，按照“工作实效好、做法有创新、实践有特色、经验可借鉴”</w:t>
      </w:r>
      <w:r>
        <w:rPr>
          <w:rFonts w:hint="default" w:ascii="Times New Roman" w:hAnsi="Times New Roman" w:eastAsia="方正楷体简体" w:cs="Times New Roman"/>
          <w:b/>
          <w:bCs w:val="0"/>
          <w:color w:val="auto"/>
          <w:sz w:val="32"/>
          <w:szCs w:val="32"/>
          <w:highlight w:val="none"/>
          <w:lang w:eastAsia="zh-CN"/>
        </w:rPr>
        <w:t>的原则，</w:t>
      </w:r>
      <w:r>
        <w:rPr>
          <w:rFonts w:hint="default" w:ascii="Times New Roman" w:hAnsi="Times New Roman" w:eastAsia="方正楷体简体" w:cs="Times New Roman"/>
          <w:b/>
          <w:bCs w:val="0"/>
          <w:color w:val="auto"/>
          <w:sz w:val="32"/>
          <w:highlight w:val="none"/>
          <w:lang w:val="en-US" w:eastAsia="zh-CN"/>
        </w:rPr>
        <w:t>评选出地方人大教科文卫工作（省级）典型案例2个，（</w:t>
      </w:r>
      <w:r>
        <w:rPr>
          <w:rFonts w:hint="eastAsia" w:ascii="Times New Roman" w:hAnsi="Times New Roman" w:eastAsia="方正楷体简体" w:cs="Times New Roman"/>
          <w:b/>
          <w:bCs w:val="0"/>
          <w:color w:val="auto"/>
          <w:sz w:val="32"/>
          <w:highlight w:val="none"/>
          <w:lang w:val="en-US" w:eastAsia="zh-CN"/>
        </w:rPr>
        <w:t>市级</w:t>
      </w:r>
      <w:r>
        <w:rPr>
          <w:rFonts w:hint="default" w:ascii="Times New Roman" w:hAnsi="Times New Roman" w:eastAsia="方正楷体简体" w:cs="Times New Roman"/>
          <w:b/>
          <w:bCs w:val="0"/>
          <w:color w:val="auto"/>
          <w:sz w:val="32"/>
          <w:highlight w:val="none"/>
          <w:lang w:val="en-US" w:eastAsia="zh-CN"/>
        </w:rPr>
        <w:t>）典型案例</w:t>
      </w:r>
      <w:r>
        <w:rPr>
          <w:rFonts w:hint="eastAsia" w:ascii="Times New Roman" w:hAnsi="Times New Roman" w:eastAsia="方正楷体简体" w:cs="Times New Roman"/>
          <w:b/>
          <w:bCs w:val="0"/>
          <w:color w:val="auto"/>
          <w:sz w:val="32"/>
          <w:highlight w:val="none"/>
          <w:lang w:val="en-US" w:eastAsia="zh-CN"/>
        </w:rPr>
        <w:t>10</w:t>
      </w:r>
      <w:r>
        <w:rPr>
          <w:rFonts w:hint="default" w:ascii="Times New Roman" w:hAnsi="Times New Roman" w:eastAsia="方正楷体简体" w:cs="Times New Roman"/>
          <w:b/>
          <w:bCs w:val="0"/>
          <w:color w:val="auto"/>
          <w:sz w:val="32"/>
          <w:highlight w:val="none"/>
          <w:lang w:val="en-US" w:eastAsia="zh-CN"/>
        </w:rPr>
        <w:t>个，（</w:t>
      </w:r>
      <w:r>
        <w:rPr>
          <w:rFonts w:hint="eastAsia" w:ascii="Times New Roman" w:hAnsi="Times New Roman" w:eastAsia="方正楷体简体" w:cs="Times New Roman"/>
          <w:b/>
          <w:bCs w:val="0"/>
          <w:color w:val="auto"/>
          <w:sz w:val="32"/>
          <w:highlight w:val="none"/>
          <w:lang w:val="en-US" w:eastAsia="zh-CN"/>
        </w:rPr>
        <w:t>县级</w:t>
      </w:r>
      <w:r>
        <w:rPr>
          <w:rFonts w:hint="default" w:ascii="Times New Roman" w:hAnsi="Times New Roman" w:eastAsia="方正楷体简体" w:cs="Times New Roman"/>
          <w:b/>
          <w:bCs w:val="0"/>
          <w:color w:val="auto"/>
          <w:sz w:val="32"/>
          <w:highlight w:val="none"/>
          <w:lang w:val="en-US" w:eastAsia="zh-CN"/>
        </w:rPr>
        <w:t>）典型案例</w:t>
      </w:r>
      <w:r>
        <w:rPr>
          <w:rFonts w:hint="eastAsia" w:ascii="Times New Roman" w:hAnsi="Times New Roman" w:eastAsia="方正楷体简体" w:cs="Times New Roman"/>
          <w:b/>
          <w:bCs w:val="0"/>
          <w:color w:val="auto"/>
          <w:sz w:val="32"/>
          <w:highlight w:val="none"/>
          <w:lang w:val="en-US" w:eastAsia="zh-CN"/>
        </w:rPr>
        <w:t>3</w:t>
      </w:r>
      <w:r>
        <w:rPr>
          <w:rFonts w:hint="default" w:ascii="Times New Roman" w:hAnsi="Times New Roman" w:eastAsia="方正楷体简体" w:cs="Times New Roman"/>
          <w:b/>
          <w:bCs w:val="0"/>
          <w:color w:val="auto"/>
          <w:sz w:val="32"/>
          <w:highlight w:val="none"/>
          <w:lang w:val="en-US" w:eastAsia="zh-CN"/>
        </w:rPr>
        <w:t>个，覆盖立法、监督、代表</w:t>
      </w:r>
      <w:r>
        <w:rPr>
          <w:rFonts w:hint="eastAsia" w:ascii="Times New Roman" w:hAnsi="Times New Roman" w:eastAsia="方正楷体简体" w:cs="Times New Roman"/>
          <w:b/>
          <w:bCs w:val="0"/>
          <w:color w:val="auto"/>
          <w:sz w:val="32"/>
          <w:highlight w:val="none"/>
          <w:lang w:val="en-US" w:eastAsia="zh-CN"/>
        </w:rPr>
        <w:t>工作</w:t>
      </w:r>
      <w:r>
        <w:rPr>
          <w:rFonts w:hint="default" w:ascii="Times New Roman" w:hAnsi="Times New Roman" w:eastAsia="方正楷体简体" w:cs="Times New Roman"/>
          <w:b/>
          <w:bCs w:val="0"/>
          <w:color w:val="auto"/>
          <w:sz w:val="32"/>
          <w:highlight w:val="none"/>
          <w:lang w:val="en-US" w:eastAsia="zh-CN"/>
        </w:rPr>
        <w:t>等领域，现予以汇编，以供学习借鉴。</w:t>
      </w:r>
    </w:p>
    <w:p w14:paraId="71F392D1">
      <w:pPr>
        <w:rPr>
          <w:rFonts w:hint="default" w:ascii="Times New Roman" w:hAnsi="Times New Roman" w:cs="Times New Roman"/>
          <w:color w:val="auto"/>
          <w:lang w:eastAsia="zh-CN"/>
        </w:rPr>
        <w:sectPr>
          <w:footerReference r:id="rId5" w:type="default"/>
          <w:pgSz w:w="11906" w:h="16838"/>
          <w:pgMar w:top="2098" w:right="1587" w:bottom="1814" w:left="1587" w:header="851" w:footer="992" w:gutter="0"/>
          <w:pgNumType w:start="1"/>
          <w:cols w:space="425" w:num="1"/>
          <w:docGrid w:type="lines" w:linePitch="312" w:charSpace="0"/>
        </w:sectPr>
      </w:pPr>
    </w:p>
    <w:p w14:paraId="498C3E7F">
      <w:pPr>
        <w:keepLines w:val="0"/>
        <w:pageBreakBefore w:val="0"/>
        <w:kinsoku/>
        <w:wordWrap/>
        <w:topLinePunct w:val="0"/>
        <w:autoSpaceDE/>
        <w:autoSpaceDN/>
        <w:bidi w:val="0"/>
        <w:rPr>
          <w:rFonts w:hint="default" w:ascii="Times New Roman" w:hAnsi="Times New Roman" w:cs="Times New Roman"/>
          <w:color w:val="auto"/>
          <w:lang w:eastAsia="zh-CN"/>
        </w:rPr>
        <w:sectPr>
          <w:footerReference r:id="rId6" w:type="default"/>
          <w:pgSz w:w="11906" w:h="16838"/>
          <w:pgMar w:top="2098" w:right="1587" w:bottom="1814" w:left="1587" w:header="851" w:footer="992" w:gutter="0"/>
          <w:pgNumType w:start="1"/>
          <w:cols w:space="425" w:num="1"/>
          <w:docGrid w:type="lines" w:linePitch="312" w:charSpace="0"/>
        </w:sectPr>
      </w:pPr>
    </w:p>
    <w:p w14:paraId="3C454488">
      <w:pPr>
        <w:keepLines w:val="0"/>
        <w:pageBreakBefore w:val="0"/>
        <w:kinsoku/>
        <w:wordWrap/>
        <w:topLinePunct w:val="0"/>
        <w:autoSpaceDE/>
        <w:autoSpaceDN/>
        <w:bidi w:val="0"/>
        <w:rPr>
          <w:rFonts w:hint="default" w:ascii="Times New Roman" w:hAnsi="Times New Roman" w:cs="Times New Roman"/>
          <w:color w:val="auto"/>
          <w:lang w:eastAsia="zh-CN"/>
        </w:rPr>
      </w:pPr>
    </w:p>
    <w:p w14:paraId="3F0A076A">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r>
        <w:rPr>
          <w:rFonts w:hint="default" w:ascii="Times New Roman" w:hAnsi="Times New Roman" w:eastAsia="方正小标宋简体" w:cs="Times New Roman"/>
          <w:b/>
          <w:bCs w:val="0"/>
          <w:color w:val="auto"/>
          <w:highlight w:val="none"/>
          <w:lang w:val="en-US" w:eastAsia="zh-CN"/>
        </w:rPr>
        <w:t>目  录</w:t>
      </w:r>
    </w:p>
    <w:p w14:paraId="1A08399C">
      <w:pPr>
        <w:keepLines w:val="0"/>
        <w:pageBreakBefore w:val="0"/>
        <w:kinsoku/>
        <w:wordWrap/>
        <w:topLinePunct w:val="0"/>
        <w:autoSpaceDE/>
        <w:autoSpaceDN/>
        <w:bidi w:val="0"/>
        <w:jc w:val="center"/>
        <w:rPr>
          <w:rFonts w:hint="default" w:ascii="Times New Roman" w:hAnsi="Times New Roman" w:eastAsia="方正仿宋简体" w:cs="Times New Roman"/>
          <w:b/>
          <w:bCs w:val="0"/>
          <w:color w:val="auto"/>
          <w:sz w:val="28"/>
          <w:szCs w:val="28"/>
          <w:highlight w:val="none"/>
          <w:lang w:eastAsia="zh-CN"/>
        </w:rPr>
      </w:pPr>
    </w:p>
    <w:p w14:paraId="03039688">
      <w:pPr>
        <w:keepLines w:val="0"/>
        <w:pageBreakBefore w:val="0"/>
        <w:kinsoku/>
        <w:wordWrap/>
        <w:topLinePunct w:val="0"/>
        <w:autoSpaceDE/>
        <w:autoSpaceDN/>
        <w:bidi w:val="0"/>
        <w:jc w:val="center"/>
        <w:rPr>
          <w:rFonts w:hint="default" w:ascii="Times New Roman" w:hAnsi="Times New Roman" w:eastAsia="方正黑体简体" w:cs="Times New Roman"/>
          <w:b/>
          <w:bCs w:val="0"/>
          <w:color w:val="auto"/>
          <w:lang w:eastAsia="zh-CN"/>
        </w:rPr>
      </w:pPr>
      <w:r>
        <w:rPr>
          <w:rFonts w:hint="default" w:ascii="Times New Roman" w:hAnsi="Times New Roman" w:eastAsia="方正黑体简体" w:cs="Times New Roman"/>
          <w:b/>
          <w:bCs w:val="0"/>
          <w:color w:val="auto"/>
          <w:sz w:val="28"/>
          <w:szCs w:val="28"/>
          <w:highlight w:val="none"/>
          <w:lang w:eastAsia="zh-CN"/>
        </w:rPr>
        <w:t>省级层面优秀工作案例</w:t>
      </w:r>
    </w:p>
    <w:p w14:paraId="26D2A756">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highlight w:val="none"/>
        </w:rPr>
      </w:pPr>
      <w:r>
        <w:rPr>
          <w:rFonts w:hint="default" w:ascii="Times New Roman" w:hAnsi="Times New Roman" w:eastAsia="方正仿宋简体" w:cs="Times New Roman"/>
          <w:b/>
          <w:bCs w:val="0"/>
          <w:color w:val="auto"/>
          <w:sz w:val="28"/>
          <w:szCs w:val="28"/>
          <w:highlight w:val="none"/>
        </w:rPr>
        <w:fldChar w:fldCharType="begin"/>
      </w:r>
      <w:r>
        <w:rPr>
          <w:rFonts w:hint="default" w:ascii="Times New Roman" w:hAnsi="Times New Roman" w:eastAsia="方正仿宋简体" w:cs="Times New Roman"/>
          <w:b/>
          <w:bCs w:val="0"/>
          <w:color w:val="auto"/>
          <w:sz w:val="28"/>
          <w:szCs w:val="28"/>
          <w:highlight w:val="none"/>
        </w:rPr>
        <w:instrText xml:space="preserve">TOC \o "1-1" \h \u </w:instrText>
      </w:r>
      <w:r>
        <w:rPr>
          <w:rFonts w:hint="default" w:ascii="Times New Roman" w:hAnsi="Times New Roman" w:eastAsia="方正仿宋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_Toc28524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关于四川省普惠托育体系建设《决定》有关情况及思考</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_Toc28524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1</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44612D05">
      <w:pPr>
        <w:pStyle w:val="13"/>
        <w:keepLines w:val="0"/>
        <w:pageBreakBefore w:val="0"/>
        <w:tabs>
          <w:tab w:val="right" w:leader="dot" w:pos="8732"/>
        </w:tabs>
        <w:kinsoku/>
        <w:wordWrap/>
        <w:topLinePunct w:val="0"/>
        <w:autoSpaceDE/>
        <w:autoSpaceDN/>
        <w:bidi w:val="0"/>
        <w:rPr>
          <w:rFonts w:hint="eastAsia" w:ascii="Times New Roman" w:hAnsi="Times New Roman" w:eastAsia="方正楷体简体" w:cs="Times New Roman"/>
          <w:b/>
          <w:bCs w:val="0"/>
          <w:color w:val="auto"/>
          <w:sz w:val="28"/>
          <w:szCs w:val="28"/>
          <w:highlight w:val="none"/>
          <w:lang w:val="en-US" w:eastAsia="zh-CN"/>
        </w:rPr>
      </w:pPr>
      <w:r>
        <w:rPr>
          <w:rFonts w:hint="default" w:ascii="Times New Roman" w:hAnsi="Times New Roman" w:eastAsia="方正楷体简体" w:cs="Times New Roman"/>
          <w:b/>
          <w:bCs w:val="0"/>
          <w:color w:val="auto"/>
          <w:sz w:val="28"/>
          <w:szCs w:val="28"/>
          <w:highlight w:val="none"/>
          <w:lang w:val="en-US" w:eastAsia="zh-CN"/>
        </w:rPr>
        <w:t>积极探索文化领域协同立法新路径</w:t>
      </w:r>
      <w:r>
        <w:rPr>
          <w:rFonts w:hint="default" w:ascii="Times New Roman" w:hAnsi="Times New Roman" w:eastAsia="方正楷体简体" w:cs="Times New Roman"/>
          <w:b/>
          <w:bCs w:val="0"/>
          <w:color w:val="auto"/>
          <w:sz w:val="28"/>
          <w:szCs w:val="28"/>
        </w:rPr>
        <w:tab/>
      </w:r>
      <w:r>
        <w:rPr>
          <w:rFonts w:hint="eastAsia" w:ascii="Times New Roman" w:hAnsi="Times New Roman" w:eastAsia="方正楷体简体" w:cs="Times New Roman"/>
          <w:b/>
          <w:bCs w:val="0"/>
          <w:color w:val="auto"/>
          <w:sz w:val="28"/>
          <w:szCs w:val="28"/>
          <w:lang w:val="en-US" w:eastAsia="zh-CN"/>
        </w:rPr>
        <w:t>7</w:t>
      </w:r>
    </w:p>
    <w:p w14:paraId="3121C48A">
      <w:pPr>
        <w:keepLines w:val="0"/>
        <w:pageBreakBefore w:val="0"/>
        <w:kinsoku/>
        <w:wordWrap/>
        <w:topLinePunct w:val="0"/>
        <w:autoSpaceDE/>
        <w:autoSpaceDN/>
        <w:bidi w:val="0"/>
        <w:rPr>
          <w:rFonts w:hint="default" w:ascii="Times New Roman" w:hAnsi="Times New Roman" w:eastAsia="方正仿宋简体" w:cs="Times New Roman"/>
          <w:b/>
          <w:bCs w:val="0"/>
          <w:color w:val="auto"/>
          <w:sz w:val="28"/>
          <w:szCs w:val="28"/>
          <w:highlight w:val="none"/>
          <w:lang w:eastAsia="zh-CN"/>
        </w:rPr>
      </w:pPr>
    </w:p>
    <w:p w14:paraId="315ECA6C">
      <w:pPr>
        <w:keepLines w:val="0"/>
        <w:pageBreakBefore w:val="0"/>
        <w:kinsoku/>
        <w:wordWrap/>
        <w:topLinePunct w:val="0"/>
        <w:autoSpaceDE/>
        <w:autoSpaceDN/>
        <w:bidi w:val="0"/>
        <w:jc w:val="center"/>
        <w:rPr>
          <w:rFonts w:hint="default" w:ascii="Times New Roman" w:hAnsi="Times New Roman" w:eastAsia="方正黑体简体" w:cs="Times New Roman"/>
          <w:b/>
          <w:bCs w:val="0"/>
          <w:color w:val="auto"/>
          <w:sz w:val="28"/>
          <w:szCs w:val="28"/>
          <w:highlight w:val="none"/>
          <w:lang w:eastAsia="zh-CN"/>
        </w:rPr>
      </w:pPr>
      <w:r>
        <w:rPr>
          <w:rFonts w:hint="default" w:ascii="Times New Roman" w:hAnsi="Times New Roman" w:eastAsia="方正黑体简体" w:cs="Times New Roman"/>
          <w:b/>
          <w:bCs w:val="0"/>
          <w:color w:val="auto"/>
          <w:sz w:val="28"/>
          <w:szCs w:val="28"/>
          <w:highlight w:val="none"/>
          <w:lang w:eastAsia="zh-CN"/>
        </w:rPr>
        <w:t>市级层面优秀工作案例</w:t>
      </w:r>
    </w:p>
    <w:p w14:paraId="1F2BF98F">
      <w:pPr>
        <w:pStyle w:val="13"/>
        <w:keepLines w:val="0"/>
        <w:pageBreakBefore w:val="0"/>
        <w:tabs>
          <w:tab w:val="right" w:leader="dot" w:pos="8732"/>
        </w:tabs>
        <w:kinsoku/>
        <w:wordWrap/>
        <w:topLinePunct w:val="0"/>
        <w:autoSpaceDE/>
        <w:autoSpaceDN/>
        <w:bidi w:val="0"/>
        <w:rPr>
          <w:rFonts w:hint="eastAsia" w:ascii="Times New Roman" w:hAnsi="Times New Roman" w:eastAsia="方正楷体简体" w:cs="Times New Roman"/>
          <w:b/>
          <w:bCs w:val="0"/>
          <w:color w:val="auto"/>
          <w:sz w:val="28"/>
          <w:szCs w:val="28"/>
          <w:lang w:val="en-US" w:eastAsia="zh-CN"/>
        </w:rPr>
      </w:pPr>
      <w:r>
        <w:rPr>
          <w:rFonts w:hint="default" w:ascii="Times New Roman" w:hAnsi="Times New Roman" w:eastAsia="方正楷体简体" w:cs="Times New Roman"/>
          <w:b/>
          <w:bCs w:val="0"/>
          <w:color w:val="auto"/>
          <w:sz w:val="28"/>
          <w:szCs w:val="28"/>
          <w:highlight w:val="none"/>
          <w:lang w:val="en-US" w:eastAsia="zh-CN"/>
        </w:rPr>
        <w:t>1.成都市：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_Toc29726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助推市级公立医院高质量发展的实践与启示</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lang w:val="en-US" w:eastAsia="zh-CN"/>
        </w:rPr>
        <w:t>1</w:t>
      </w:r>
      <w:r>
        <w:rPr>
          <w:rFonts w:hint="default" w:ascii="Times New Roman" w:hAnsi="Times New Roman" w:eastAsia="方正楷体简体" w:cs="Times New Roman"/>
          <w:b/>
          <w:bCs w:val="0"/>
          <w:color w:val="auto"/>
          <w:sz w:val="28"/>
          <w:szCs w:val="28"/>
          <w:highlight w:val="none"/>
        </w:rPr>
        <w:fldChar w:fldCharType="end"/>
      </w:r>
      <w:r>
        <w:rPr>
          <w:rFonts w:hint="eastAsia" w:ascii="Times New Roman" w:hAnsi="Times New Roman" w:eastAsia="方正楷体简体" w:cs="Times New Roman"/>
          <w:b/>
          <w:bCs w:val="0"/>
          <w:color w:val="auto"/>
          <w:sz w:val="28"/>
          <w:szCs w:val="28"/>
          <w:highlight w:val="none"/>
          <w:lang w:val="en-US" w:eastAsia="zh-CN"/>
        </w:rPr>
        <w:t>2</w:t>
      </w:r>
    </w:p>
    <w:p w14:paraId="5C145571">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2.自贡市：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_Toc16172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法治聚力  擦亮“中国灯城”名片</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_Toc16172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18</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023FBABB">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3.泸州市：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_Toc11848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焦民生关切  服务人口战略 人大助推普惠托育走出“泸州路径”</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_Toc11848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23</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3F5839DE">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4.德阳市：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_Toc7439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立法“小切口”，保护年画“大管用”</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_Toc7439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29</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6EEC6FC5">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5.内江市：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_Toc21908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巩固创卫成果  建设美丽内江</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_Toc21908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34</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554654B8">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6.南充市：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_Toc12776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“小切口”立法助推传统地方戏剧保护传承</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_Toc12776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40</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2B206FD8">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7.宜宾市：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_Toc3577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推动中医药传承创新发展的人大实践</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_Toc3577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46</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718D6A28">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8.达州市：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_Toc24206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让群众更有“医”靠的人大力量</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_Toc24206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52</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4E8FA36F">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9.巴中市：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_Toc22182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“十步法”发挥教育专业代表小组作用 有力提升代表建议办理质效</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_Toc22182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58</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3FB1A17C">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10.资阳市：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_Toc10312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用活一部法  造福一方人</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_Toc10312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63</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2827F0E4">
      <w:pPr>
        <w:keepLines w:val="0"/>
        <w:pageBreakBefore w:val="0"/>
        <w:kinsoku/>
        <w:wordWrap/>
        <w:topLinePunct w:val="0"/>
        <w:autoSpaceDE/>
        <w:autoSpaceDN/>
        <w:bidi w:val="0"/>
        <w:rPr>
          <w:rFonts w:hint="default" w:ascii="Times New Roman" w:hAnsi="Times New Roman" w:eastAsia="方正仿宋简体" w:cs="Times New Roman"/>
          <w:b/>
          <w:bCs w:val="0"/>
          <w:color w:val="auto"/>
          <w:sz w:val="28"/>
          <w:szCs w:val="28"/>
          <w:highlight w:val="none"/>
          <w:lang w:eastAsia="zh-CN"/>
        </w:rPr>
      </w:pPr>
    </w:p>
    <w:p w14:paraId="56FB8736">
      <w:pPr>
        <w:keepLines w:val="0"/>
        <w:pageBreakBefore w:val="0"/>
        <w:kinsoku/>
        <w:wordWrap/>
        <w:topLinePunct w:val="0"/>
        <w:autoSpaceDE/>
        <w:autoSpaceDN/>
        <w:bidi w:val="0"/>
        <w:jc w:val="center"/>
        <w:rPr>
          <w:rFonts w:hint="default" w:ascii="Times New Roman" w:hAnsi="Times New Roman" w:eastAsia="方正黑体简体" w:cs="Times New Roman"/>
          <w:b/>
          <w:bCs w:val="0"/>
          <w:color w:val="auto"/>
          <w:sz w:val="28"/>
          <w:szCs w:val="28"/>
          <w:highlight w:val="none"/>
          <w:lang w:eastAsia="zh-CN"/>
        </w:rPr>
        <w:sectPr>
          <w:footerReference r:id="rId7" w:type="default"/>
          <w:pgSz w:w="11906" w:h="16838"/>
          <w:pgMar w:top="2098" w:right="1587" w:bottom="1814" w:left="1587" w:header="851" w:footer="992" w:gutter="0"/>
          <w:pgNumType w:start="1"/>
          <w:cols w:space="425" w:num="1"/>
          <w:docGrid w:type="lines" w:linePitch="312" w:charSpace="0"/>
        </w:sectPr>
      </w:pPr>
    </w:p>
    <w:p w14:paraId="6D95A22A">
      <w:pPr>
        <w:keepLines w:val="0"/>
        <w:pageBreakBefore w:val="0"/>
        <w:kinsoku/>
        <w:wordWrap/>
        <w:topLinePunct w:val="0"/>
        <w:autoSpaceDE/>
        <w:autoSpaceDN/>
        <w:bidi w:val="0"/>
        <w:jc w:val="center"/>
        <w:rPr>
          <w:rFonts w:hint="default" w:ascii="Times New Roman" w:hAnsi="Times New Roman" w:eastAsia="方正黑体简体" w:cs="Times New Roman"/>
          <w:b/>
          <w:bCs w:val="0"/>
          <w:color w:val="auto"/>
          <w:sz w:val="28"/>
          <w:szCs w:val="28"/>
          <w:highlight w:val="none"/>
          <w:lang w:eastAsia="zh-CN"/>
        </w:rPr>
      </w:pPr>
      <w:r>
        <w:rPr>
          <w:rFonts w:hint="default" w:ascii="Times New Roman" w:hAnsi="Times New Roman" w:eastAsia="方正黑体简体" w:cs="Times New Roman"/>
          <w:b/>
          <w:bCs w:val="0"/>
          <w:color w:val="auto"/>
          <w:sz w:val="28"/>
          <w:szCs w:val="28"/>
          <w:highlight w:val="none"/>
          <w:lang w:eastAsia="zh-CN"/>
        </w:rPr>
        <w:t>县级层面优秀工作案例</w:t>
      </w:r>
    </w:p>
    <w:p w14:paraId="45943573">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1.广元市利州区：</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_Toc24402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充分发挥人大职能作用 促进县域义务教育优质均衡发展</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_Toc24402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69</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433B2B3C">
      <w:pPr>
        <w:pStyle w:val="13"/>
        <w:keepLines w:val="0"/>
        <w:pageBreakBefore w:val="0"/>
        <w:tabs>
          <w:tab w:val="right" w:leader="dot" w:pos="8732"/>
        </w:tabs>
        <w:kinsoku/>
        <w:wordWrap/>
        <w:topLinePunct w:val="0"/>
        <w:autoSpaceDE/>
        <w:autoSpaceDN/>
        <w:bidi w:val="0"/>
        <w:rPr>
          <w:rFonts w:hint="default" w:ascii="Times New Roman" w:hAnsi="Times New Roman" w:eastAsia="方正楷体简体" w:cs="Times New Roman"/>
          <w:b/>
          <w:bCs w:val="0"/>
          <w:color w:val="auto"/>
          <w:sz w:val="28"/>
          <w:szCs w:val="28"/>
        </w:rPr>
      </w:pPr>
      <w:r>
        <w:rPr>
          <w:rFonts w:hint="default" w:ascii="Times New Roman" w:hAnsi="Times New Roman" w:eastAsia="方正楷体简体" w:cs="Times New Roman"/>
          <w:b/>
          <w:bCs w:val="0"/>
          <w:color w:val="auto"/>
          <w:sz w:val="28"/>
          <w:szCs w:val="28"/>
          <w:highlight w:val="none"/>
          <w:lang w:val="en-US" w:eastAsia="zh-CN"/>
        </w:rPr>
        <w:t>2.射洪市：</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_Toc26963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发挥人大职能优势  持续深化产教融合</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_Toc26963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75</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04DF8038">
      <w:pPr>
        <w:pStyle w:val="13"/>
        <w:keepLines w:val="0"/>
        <w:pageBreakBefore w:val="0"/>
        <w:tabs>
          <w:tab w:val="right" w:leader="dot" w:pos="8732"/>
        </w:tabs>
        <w:kinsoku/>
        <w:wordWrap/>
        <w:topLinePunct w:val="0"/>
        <w:autoSpaceDE/>
        <w:autoSpaceDN/>
        <w:bidi w:val="0"/>
        <w:rPr>
          <w:rFonts w:hint="default" w:ascii="Times New Roman" w:hAnsi="Times New Roman" w:cs="Times New Roman"/>
          <w:b/>
          <w:bCs w:val="0"/>
          <w:color w:val="auto"/>
        </w:rPr>
      </w:pPr>
      <w:r>
        <w:rPr>
          <w:rFonts w:hint="default" w:ascii="Times New Roman" w:hAnsi="Times New Roman" w:eastAsia="方正楷体简体" w:cs="Times New Roman"/>
          <w:b/>
          <w:bCs w:val="0"/>
          <w:color w:val="auto"/>
          <w:sz w:val="28"/>
          <w:szCs w:val="28"/>
          <w:highlight w:val="none"/>
          <w:lang w:val="en-US" w:eastAsia="zh-CN"/>
        </w:rPr>
        <w:t>3.汶川县：</w:t>
      </w:r>
      <w:r>
        <w:rPr>
          <w:rFonts w:hint="default" w:ascii="Times New Roman" w:hAnsi="Times New Roman" w:eastAsia="方正楷体简体" w:cs="Times New Roman"/>
          <w:b/>
          <w:bCs w:val="0"/>
          <w:color w:val="auto"/>
          <w:sz w:val="28"/>
          <w:szCs w:val="28"/>
          <w:highlight w:val="none"/>
        </w:rPr>
        <w:fldChar w:fldCharType="begin"/>
      </w:r>
      <w:r>
        <w:rPr>
          <w:rFonts w:hint="default" w:ascii="Times New Roman" w:hAnsi="Times New Roman" w:eastAsia="方正楷体简体" w:cs="Times New Roman"/>
          <w:b/>
          <w:bCs w:val="0"/>
          <w:color w:val="auto"/>
          <w:sz w:val="28"/>
          <w:szCs w:val="28"/>
          <w:highlight w:val="none"/>
        </w:rPr>
        <w:instrText xml:space="preserve"> HYPERLINK \l _Toc25888 </w:instrText>
      </w:r>
      <w:r>
        <w:rPr>
          <w:rFonts w:hint="default" w:ascii="Times New Roman" w:hAnsi="Times New Roman" w:eastAsia="方正楷体简体" w:cs="Times New Roman"/>
          <w:b/>
          <w:bCs w:val="0"/>
          <w:color w:val="auto"/>
          <w:sz w:val="28"/>
          <w:szCs w:val="28"/>
          <w:highlight w:val="none"/>
        </w:rPr>
        <w:fldChar w:fldCharType="separate"/>
      </w:r>
      <w:r>
        <w:rPr>
          <w:rFonts w:hint="default" w:ascii="Times New Roman" w:hAnsi="Times New Roman" w:eastAsia="方正楷体简体" w:cs="Times New Roman"/>
          <w:b/>
          <w:bCs w:val="0"/>
          <w:color w:val="auto"/>
          <w:sz w:val="28"/>
          <w:szCs w:val="28"/>
          <w:highlight w:val="none"/>
          <w:lang w:val="en-US" w:eastAsia="zh-CN"/>
        </w:rPr>
        <w:t>开展监督指导，助推慢病防控</w:t>
      </w:r>
      <w:r>
        <w:rPr>
          <w:rFonts w:hint="default" w:ascii="Times New Roman" w:hAnsi="Times New Roman" w:eastAsia="方正楷体简体" w:cs="Times New Roman"/>
          <w:b/>
          <w:bCs w:val="0"/>
          <w:color w:val="auto"/>
          <w:sz w:val="28"/>
          <w:szCs w:val="28"/>
        </w:rPr>
        <w:tab/>
      </w:r>
      <w:r>
        <w:rPr>
          <w:rFonts w:hint="default" w:ascii="Times New Roman" w:hAnsi="Times New Roman" w:eastAsia="方正楷体简体" w:cs="Times New Roman"/>
          <w:b/>
          <w:bCs w:val="0"/>
          <w:color w:val="auto"/>
          <w:sz w:val="28"/>
          <w:szCs w:val="28"/>
        </w:rPr>
        <w:fldChar w:fldCharType="begin"/>
      </w:r>
      <w:r>
        <w:rPr>
          <w:rFonts w:hint="default" w:ascii="Times New Roman" w:hAnsi="Times New Roman" w:eastAsia="方正楷体简体" w:cs="Times New Roman"/>
          <w:b/>
          <w:bCs w:val="0"/>
          <w:color w:val="auto"/>
          <w:sz w:val="28"/>
          <w:szCs w:val="28"/>
        </w:rPr>
        <w:instrText xml:space="preserve"> PAGEREF _Toc25888 \h </w:instrText>
      </w:r>
      <w:r>
        <w:rPr>
          <w:rFonts w:hint="default" w:ascii="Times New Roman" w:hAnsi="Times New Roman" w:eastAsia="方正楷体简体" w:cs="Times New Roman"/>
          <w:b/>
          <w:bCs w:val="0"/>
          <w:color w:val="auto"/>
          <w:sz w:val="28"/>
          <w:szCs w:val="28"/>
        </w:rPr>
        <w:fldChar w:fldCharType="separate"/>
      </w:r>
      <w:r>
        <w:rPr>
          <w:rFonts w:hint="default" w:ascii="Times New Roman" w:hAnsi="Times New Roman" w:eastAsia="方正楷体简体" w:cs="Times New Roman"/>
          <w:b/>
          <w:bCs w:val="0"/>
          <w:color w:val="auto"/>
          <w:sz w:val="28"/>
          <w:szCs w:val="28"/>
        </w:rPr>
        <w:t>81</w:t>
      </w:r>
      <w:r>
        <w:rPr>
          <w:rFonts w:hint="default" w:ascii="Times New Roman" w:hAnsi="Times New Roman" w:eastAsia="方正楷体简体" w:cs="Times New Roman"/>
          <w:b/>
          <w:bCs w:val="0"/>
          <w:color w:val="auto"/>
          <w:sz w:val="28"/>
          <w:szCs w:val="28"/>
        </w:rPr>
        <w:fldChar w:fldCharType="end"/>
      </w:r>
      <w:r>
        <w:rPr>
          <w:rFonts w:hint="default" w:ascii="Times New Roman" w:hAnsi="Times New Roman" w:eastAsia="方正楷体简体" w:cs="Times New Roman"/>
          <w:b/>
          <w:bCs w:val="0"/>
          <w:color w:val="auto"/>
          <w:sz w:val="28"/>
          <w:szCs w:val="28"/>
          <w:highlight w:val="none"/>
        </w:rPr>
        <w:fldChar w:fldCharType="end"/>
      </w:r>
    </w:p>
    <w:p w14:paraId="754D8EB9">
      <w:pPr>
        <w:pStyle w:val="13"/>
        <w:keepLines w:val="0"/>
        <w:pageBreakBefore w:val="0"/>
        <w:shd w:val="clear"/>
        <w:tabs>
          <w:tab w:val="right" w:leader="dot" w:pos="8730"/>
        </w:tabs>
        <w:kinsoku/>
        <w:wordWrap/>
        <w:topLinePunct w:val="0"/>
        <w:autoSpaceDE/>
        <w:autoSpaceDN/>
        <w:bidi w:val="0"/>
        <w:rPr>
          <w:rFonts w:hint="default" w:ascii="Times New Roman" w:hAnsi="Times New Roman" w:cs="Times New Roman"/>
          <w:b/>
          <w:bCs w:val="0"/>
          <w:color w:val="auto"/>
          <w:highlight w:val="none"/>
        </w:rPr>
      </w:pPr>
      <w:r>
        <w:rPr>
          <w:rFonts w:hint="default" w:ascii="Times New Roman" w:hAnsi="Times New Roman" w:eastAsia="方正仿宋简体" w:cs="Times New Roman"/>
          <w:b/>
          <w:bCs w:val="0"/>
          <w:color w:val="auto"/>
          <w:szCs w:val="28"/>
          <w:highlight w:val="none"/>
        </w:rPr>
        <w:fldChar w:fldCharType="end"/>
      </w:r>
    </w:p>
    <w:p w14:paraId="59F248C4">
      <w:pPr>
        <w:pStyle w:val="1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小标宋简体" w:cs="Times New Roman"/>
          <w:b/>
          <w:bCs w:val="0"/>
          <w:color w:val="auto"/>
          <w:kern w:val="2"/>
          <w:sz w:val="44"/>
          <w:szCs w:val="44"/>
          <w:highlight w:val="none"/>
          <w:lang w:val="en-US" w:eastAsia="zh-CN" w:bidi="ar-SA"/>
        </w:rPr>
        <w:sectPr>
          <w:footerReference r:id="rId8" w:type="default"/>
          <w:pgSz w:w="11906" w:h="16838"/>
          <w:pgMar w:top="2098" w:right="1587" w:bottom="1814" w:left="1587" w:header="851" w:footer="992" w:gutter="0"/>
          <w:pgNumType w:start="1"/>
          <w:cols w:space="425" w:num="1"/>
          <w:docGrid w:type="lines" w:linePitch="312" w:charSpace="0"/>
        </w:sectPr>
      </w:pPr>
    </w:p>
    <w:p w14:paraId="044AC22B">
      <w:pPr>
        <w:pStyle w:val="1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小标宋简体" w:cs="Times New Roman"/>
          <w:b/>
          <w:bCs w:val="0"/>
          <w:color w:val="auto"/>
          <w:kern w:val="2"/>
          <w:sz w:val="44"/>
          <w:szCs w:val="44"/>
          <w:highlight w:val="none"/>
          <w:lang w:val="en-US" w:eastAsia="zh-CN" w:bidi="ar-SA"/>
        </w:rPr>
      </w:pPr>
    </w:p>
    <w:p w14:paraId="3D742DB0">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0" w:name="_Toc28524"/>
      <w:r>
        <w:rPr>
          <w:rFonts w:hint="default" w:ascii="Times New Roman" w:hAnsi="Times New Roman" w:eastAsia="方正小标宋简体" w:cs="Times New Roman"/>
          <w:b/>
          <w:bCs w:val="0"/>
          <w:color w:val="auto"/>
          <w:highlight w:val="none"/>
          <w:lang w:val="en-US" w:eastAsia="zh-CN"/>
        </w:rPr>
        <w:t>关于四川省普惠托育体系建设《决定》</w:t>
      </w:r>
      <w:r>
        <w:rPr>
          <w:rFonts w:hint="default" w:ascii="Times New Roman" w:hAnsi="Times New Roman" w:eastAsia="方正小标宋简体" w:cs="Times New Roman"/>
          <w:b/>
          <w:bCs w:val="0"/>
          <w:color w:val="auto"/>
          <w:highlight w:val="none"/>
          <w:lang w:val="en-US" w:eastAsia="zh-CN"/>
        </w:rPr>
        <w:br w:type="textWrapping"/>
      </w:r>
      <w:r>
        <w:rPr>
          <w:rFonts w:hint="default" w:ascii="Times New Roman" w:hAnsi="Times New Roman" w:eastAsia="方正小标宋简体" w:cs="Times New Roman"/>
          <w:b/>
          <w:bCs w:val="0"/>
          <w:color w:val="auto"/>
          <w:highlight w:val="none"/>
          <w:lang w:val="en-US" w:eastAsia="zh-CN"/>
        </w:rPr>
        <w:t>有关情况及思考</w:t>
      </w:r>
      <w:bookmarkEnd w:id="0"/>
    </w:p>
    <w:p w14:paraId="508D8FF7">
      <w:pPr>
        <w:keepLines w:val="0"/>
        <w:pageBreakBefore w:val="0"/>
        <w:kinsoku/>
        <w:wordWrap/>
        <w:topLinePunct w:val="0"/>
        <w:autoSpaceDE/>
        <w:autoSpaceDN/>
        <w:bidi w:val="0"/>
        <w:spacing w:line="600" w:lineRule="exact"/>
        <w:jc w:val="center"/>
        <w:textAlignment w:val="baseline"/>
        <w:rPr>
          <w:rFonts w:hint="default" w:ascii="Times New Roman" w:hAnsi="Times New Roman" w:eastAsia="方正楷体_GBK" w:cs="Times New Roman"/>
          <w:b/>
          <w:bCs w:val="0"/>
          <w:color w:val="auto"/>
          <w:sz w:val="30"/>
          <w:szCs w:val="30"/>
        </w:rPr>
      </w:pPr>
    </w:p>
    <w:p w14:paraId="6CC586D5">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 xml:space="preserve">2023年11月29日，四川省第十四届人大常委会第九次会议表决通过了《四川省人民代表大会常务委员会关于加快推进普惠托育服务体系建设的决定》（以下简称决定），为全省普惠托育高质量发展提供有力法治保障。这项决定涉及民生、事关千家万户，在全国地方人大层面尚属首个，产生良好的社会效应。有关经验做法被全国人大简报刊发，得到铁凝副委员长、省委王晓晖书记的充分肯定。 </w:t>
      </w:r>
    </w:p>
    <w:p w14:paraId="638B8D9B">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黑体简体" w:cs="Times New Roman"/>
          <w:b/>
          <w:bCs w:val="0"/>
          <w:color w:val="auto"/>
          <w:sz w:val="32"/>
          <w:szCs w:val="32"/>
          <w:lang w:eastAsia="zh-CN"/>
        </w:rPr>
      </w:pPr>
    </w:p>
    <w:p w14:paraId="7F1BBE7F">
      <w:pPr>
        <w:keepNext w:val="0"/>
        <w:keepLines w:val="0"/>
        <w:pageBreakBefore w:val="0"/>
        <w:widowControl w:val="0"/>
        <w:kinsoku/>
        <w:wordWrap/>
        <w:overflowPunct/>
        <w:topLinePunct w:val="0"/>
        <w:autoSpaceDE/>
        <w:autoSpaceDN/>
        <w:bidi w:val="0"/>
        <w:spacing w:line="580" w:lineRule="exact"/>
        <w:jc w:val="center"/>
        <w:textAlignment w:val="baseline"/>
        <w:rPr>
          <w:rFonts w:hint="default" w:ascii="Times New Roman" w:hAnsi="Times New Roman" w:eastAsia="方正黑体简体" w:cs="Times New Roman"/>
          <w:b/>
          <w:bCs w:val="0"/>
          <w:color w:val="auto"/>
          <w:sz w:val="32"/>
          <w:szCs w:val="32"/>
          <w:lang w:eastAsia="zh-CN"/>
        </w:rPr>
      </w:pPr>
      <w:r>
        <w:rPr>
          <w:rFonts w:hint="default" w:ascii="Times New Roman" w:hAnsi="Times New Roman" w:eastAsia="方正黑体简体" w:cs="Times New Roman"/>
          <w:b/>
          <w:bCs w:val="0"/>
          <w:color w:val="auto"/>
          <w:sz w:val="32"/>
          <w:szCs w:val="32"/>
          <w:lang w:eastAsia="zh-CN"/>
        </w:rPr>
        <w:t>案例背景</w:t>
      </w:r>
    </w:p>
    <w:p w14:paraId="3BD6864B">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发展普惠托育服务，是以习近平总书记为核心的党中央准确把握人口发展大势、着眼促进人的全面发展、及时回应民生关切作出的重要部署。四川是人口大省，近年人口出生率持续降低，全省人口结构显著变化，“照料难”的问题一定程度上成为家庭生育意愿的影响因素。为此，四川连续3年将新建、改扩建普惠性托位纳入全省30件民生实事，支持成都、眉山申报成为全国首批“婴幼儿照护服务示范城市”，支持泸州获批“中央财政支持普惠托育”项目，积极探索普惠托育新机制，形成了系列体现民生导向、发挥政府作用、各方有序参与的经验做法。及时将这些经验做法上升为制度规范，为促进我省普惠托育事业健康发展提供稳定可预期的法治保障，非常必要，正当其时。</w:t>
      </w:r>
    </w:p>
    <w:p w14:paraId="4B0FBBD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2023年，四川省人大常委会党组根据省委有关部署要求，在学习贯彻习近平新时代中国特色社会主义思想主题教育中，将普惠托育服务体系建设作为重点调研课题，省人大常委会党组书记、副主任王雁飞牵头，到社区、幼儿园、托育机构和有关部门（单位）开展了广泛深入的调查研究，形成了调研报告。调研发现，四川普惠托育服务发展总体上处在起步阶段，存在结构性供需矛盾突出、支持政策不完善、标准规范和人才体系不健全等问题。为依法促进普惠托育事业发展，省人大常委会报经省委同意，按照行使重大事项决定权的程序作出决定，推动构建与出生人口、托育需求、城乡特点相适应的普惠托育服务体系。</w:t>
      </w:r>
    </w:p>
    <w:p w14:paraId="36D1A735">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p>
    <w:p w14:paraId="131E30BB">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25714CED">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省人大教科文卫委会同省卫生健康委制定工作方案、搭建工作专班，加快推进相关工作。起草专班先后前往凉山、自贡、巴中等地调研，到上海市考察学习。起草过程中，及时对标国家最新政策文件，广泛征求国家卫生健康委、省政府办公厅、省直部门、各市（州）人大常委会、人大代表和社会公众等各方意见，多次组织召开专家论证会、部门座谈会，对重点难点问题进行反复研究。在此基础上，形成了决定草案，由省人大常委会会议审议通过。</w:t>
      </w:r>
    </w:p>
    <w:p w14:paraId="72B12C1C">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（一）建立健全常态化工作机制。</w:t>
      </w:r>
      <w:r>
        <w:rPr>
          <w:rFonts w:hint="default" w:ascii="Times New Roman" w:hAnsi="Times New Roman" w:eastAsia="方正仿宋简体" w:cs="Times New Roman"/>
          <w:b/>
          <w:bCs w:val="0"/>
          <w:color w:val="auto"/>
          <w:sz w:val="32"/>
          <w:szCs w:val="32"/>
        </w:rPr>
        <w:t>一是建立普惠托育部门联席会议制度，强化组织领导、统筹协调、政策支持和要素保障。二是建立工作机制，由卫生健康部门主管普惠托育工作，发展改革、教育等部门按照职责做好相关工作。三是建立信息互通共享机制，畅通托育服务机构登记机关和备案机关常态化沟通渠道，解决信息不对称问题。</w:t>
      </w:r>
    </w:p>
    <w:p w14:paraId="49E380A0">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rPr>
        <w:t>（二）加大有效供给。</w:t>
      </w:r>
      <w:r>
        <w:rPr>
          <w:rFonts w:hint="default" w:ascii="Times New Roman" w:hAnsi="Times New Roman" w:eastAsia="方正仿宋简体" w:cs="Times New Roman"/>
          <w:b/>
          <w:bCs w:val="0"/>
          <w:color w:val="auto"/>
          <w:sz w:val="32"/>
          <w:szCs w:val="32"/>
        </w:rPr>
        <w:t>一是打造便捷亲民的普惠托育服务圈。新建居住区托育服务设施要与住宅同步规划、建设，已建成居住区通过改建、置换等方式逐步完善托育设施，提供全日托、半日托、计时托、临时托等服务。二是充分利用学前教育资源。</w:t>
      </w:r>
      <w:r>
        <w:rPr>
          <w:rFonts w:hint="default" w:ascii="Times New Roman" w:hAnsi="Times New Roman" w:eastAsia="方正仿宋简体" w:cs="Times New Roman"/>
          <w:b/>
          <w:bCs w:val="0"/>
          <w:color w:val="auto"/>
          <w:kern w:val="0"/>
          <w:sz w:val="32"/>
          <w:szCs w:val="32"/>
          <w:shd w:val="clear" w:color="auto" w:fill="FFFFFF"/>
        </w:rPr>
        <w:t>支持有条件的幼儿园开设托班，招收2至3岁婴幼儿，提供普惠托育服务。三是多元办托。采取公建民营、民办公助、购买服务等方式，支持社会力量多元办托。鼓励机关、企事业单位为职工提供普惠托育服务。</w:t>
      </w:r>
    </w:p>
    <w:p w14:paraId="5561BFD3">
      <w:pPr>
        <w:keepNext w:val="0"/>
        <w:keepLines w:val="0"/>
        <w:pageBreakBefore w:val="0"/>
        <w:widowControl w:val="0"/>
        <w:kinsoku/>
        <w:wordWrap/>
        <w:overflowPunct/>
        <w:topLinePunct w:val="0"/>
        <w:autoSpaceDE/>
        <w:autoSpaceDN/>
        <w:bidi w:val="0"/>
        <w:snapToGrid w:val="0"/>
        <w:spacing w:line="580" w:lineRule="exact"/>
        <w:ind w:firstLine="643" w:firstLineChars="200"/>
        <w:textAlignment w:val="baseline"/>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rPr>
        <w:t>（三）提升服务质量。</w:t>
      </w:r>
      <w:r>
        <w:rPr>
          <w:rFonts w:hint="default" w:ascii="Times New Roman" w:hAnsi="Times New Roman" w:eastAsia="方正仿宋简体" w:cs="Times New Roman"/>
          <w:b/>
          <w:bCs w:val="0"/>
          <w:color w:val="auto"/>
          <w:kern w:val="0"/>
          <w:sz w:val="32"/>
          <w:szCs w:val="32"/>
          <w:shd w:val="clear" w:color="auto" w:fill="FFFFFF"/>
        </w:rPr>
        <w:t>一是加强人才队伍建设。</w:t>
      </w:r>
      <w:r>
        <w:rPr>
          <w:rFonts w:hint="default" w:ascii="Times New Roman" w:hAnsi="Times New Roman" w:eastAsia="方正仿宋简体" w:cs="Times New Roman"/>
          <w:b/>
          <w:bCs w:val="0"/>
          <w:color w:val="auto"/>
          <w:sz w:val="32"/>
          <w:szCs w:val="32"/>
        </w:rPr>
        <w:t>支持普通高校和职业院校开设托育服务相关专业，加强</w:t>
      </w:r>
      <w:r>
        <w:rPr>
          <w:rFonts w:hint="default" w:ascii="Times New Roman" w:hAnsi="Times New Roman" w:eastAsia="方正仿宋简体" w:cs="Times New Roman"/>
          <w:b/>
          <w:bCs w:val="0"/>
          <w:color w:val="auto"/>
          <w:kern w:val="0"/>
          <w:sz w:val="32"/>
          <w:szCs w:val="32"/>
          <w:shd w:val="clear" w:color="auto" w:fill="FFFFFF"/>
        </w:rPr>
        <w:t>人才培养和职</w:t>
      </w:r>
      <w:r>
        <w:rPr>
          <w:rFonts w:hint="default" w:ascii="Times New Roman" w:hAnsi="Times New Roman" w:eastAsia="方正仿宋简体" w:cs="Times New Roman"/>
          <w:b/>
          <w:bCs w:val="0"/>
          <w:color w:val="auto"/>
          <w:sz w:val="32"/>
          <w:szCs w:val="32"/>
        </w:rPr>
        <w:t>业培训，完善人才管理和评价机制，优化人事薪酬制度，提升托育队伍素质和服务水平。二是加强业务指导。通过建设综合性托育服务机构、建立医育协同机制等途径，为托育服务提供业务指导、健康管理等服务。三是建立等级评审制度。建立托育服务机构等级评审制度，</w:t>
      </w:r>
      <w:r>
        <w:rPr>
          <w:rFonts w:hint="default" w:ascii="Times New Roman" w:hAnsi="Times New Roman" w:eastAsia="方正仿宋简体" w:cs="Times New Roman"/>
          <w:b/>
          <w:bCs w:val="0"/>
          <w:color w:val="auto"/>
          <w:kern w:val="0"/>
          <w:sz w:val="32"/>
          <w:szCs w:val="32"/>
          <w:shd w:val="clear" w:color="auto" w:fill="FFFFFF"/>
        </w:rPr>
        <w:t>托育机构等级与收费价格、政府补助挂钩，激发内生动力。</w:t>
      </w:r>
    </w:p>
    <w:p w14:paraId="70937F88">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rPr>
        <w:t>（四）降低办托成本。</w:t>
      </w:r>
      <w:r>
        <w:rPr>
          <w:rFonts w:hint="default" w:ascii="Times New Roman" w:hAnsi="Times New Roman" w:eastAsia="方正仿宋简体" w:cs="Times New Roman"/>
          <w:b/>
          <w:bCs w:val="0"/>
          <w:color w:val="auto"/>
          <w:sz w:val="32"/>
          <w:szCs w:val="32"/>
        </w:rPr>
        <w:t>一是建立投入保障机制，将普惠托育服务纳入国民经济和社会发展规划及国土空间规划，纳入社区公共服务体系。二是采取建设补助、运营补助、专项奖补、购买服务、发放消费券等方式，对普惠托育机构和家庭予以补助。</w:t>
      </w:r>
      <w:r>
        <w:rPr>
          <w:rFonts w:hint="default" w:ascii="Times New Roman" w:hAnsi="Times New Roman" w:eastAsia="方正仿宋简体" w:cs="Times New Roman"/>
          <w:b/>
          <w:bCs w:val="0"/>
          <w:color w:val="auto"/>
          <w:kern w:val="0"/>
          <w:sz w:val="32"/>
          <w:szCs w:val="32"/>
          <w:shd w:val="clear" w:color="auto" w:fill="FFFFFF"/>
        </w:rPr>
        <w:t>三</w:t>
      </w:r>
      <w:r>
        <w:rPr>
          <w:rFonts w:hint="default" w:ascii="Times New Roman" w:hAnsi="Times New Roman" w:eastAsia="方正仿宋简体" w:cs="Times New Roman"/>
          <w:b/>
          <w:bCs w:val="0"/>
          <w:color w:val="auto"/>
          <w:sz w:val="32"/>
          <w:szCs w:val="32"/>
        </w:rPr>
        <w:t>是</w:t>
      </w:r>
      <w:r>
        <w:rPr>
          <w:rFonts w:hint="default" w:ascii="Times New Roman" w:hAnsi="Times New Roman" w:eastAsia="方正仿宋简体" w:cs="Times New Roman"/>
          <w:b/>
          <w:bCs w:val="0"/>
          <w:color w:val="auto"/>
          <w:kern w:val="0"/>
          <w:sz w:val="32"/>
          <w:szCs w:val="32"/>
          <w:shd w:val="clear" w:color="auto" w:fill="FFFFFF"/>
        </w:rPr>
        <w:t>普惠托育收费标准实行政府指导价。定价要综合考虑政府投入、当地经济发展水平、运行成本及群众承受能力等因素，并动态调整。四是</w:t>
      </w:r>
      <w:r>
        <w:rPr>
          <w:rFonts w:hint="default" w:ascii="Times New Roman" w:hAnsi="Times New Roman" w:eastAsia="方正仿宋简体" w:cs="Times New Roman"/>
          <w:b/>
          <w:bCs w:val="0"/>
          <w:color w:val="auto"/>
          <w:sz w:val="32"/>
          <w:szCs w:val="32"/>
        </w:rPr>
        <w:t>鼓励有条件的地方将普惠托育纳入基本公共服务，所需经费纳入本级预算。</w:t>
      </w:r>
    </w:p>
    <w:p w14:paraId="7E2DD8FF">
      <w:pPr>
        <w:keepNext w:val="0"/>
        <w:keepLines w:val="0"/>
        <w:pageBreakBefore w:val="0"/>
        <w:widowControl w:val="0"/>
        <w:kinsoku/>
        <w:wordWrap/>
        <w:overflowPunct/>
        <w:topLinePunct w:val="0"/>
        <w:autoSpaceDE/>
        <w:autoSpaceDN/>
        <w:bidi w:val="0"/>
        <w:spacing w:line="580" w:lineRule="exact"/>
        <w:ind w:firstLine="643" w:firstLineChars="200"/>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（五）强化监督管理。</w:t>
      </w:r>
      <w:r>
        <w:rPr>
          <w:rFonts w:hint="default" w:ascii="Times New Roman" w:hAnsi="Times New Roman" w:eastAsia="方正仿宋简体" w:cs="Times New Roman"/>
          <w:b/>
          <w:bCs w:val="0"/>
          <w:color w:val="auto"/>
          <w:sz w:val="32"/>
          <w:szCs w:val="32"/>
        </w:rPr>
        <w:t>一是针对监管权责不清晰的问题，明确按照“谁审批谁监管、谁主管谁监管”原则落实监管职责，确保婴幼儿安全和健康。二是规定托育机构落实主体责任，健全安全保卫、消防、食品安全等管理制度，制定应急预案。三是规定托育机构要公示备案回执、食品经营许可证、收费标准等信息，自觉接受社会监督。</w:t>
      </w:r>
    </w:p>
    <w:p w14:paraId="29EEA90D">
      <w:pPr>
        <w:keepNext w:val="0"/>
        <w:keepLines w:val="0"/>
        <w:pageBreakBefore w:val="0"/>
        <w:widowControl w:val="0"/>
        <w:numPr>
          <w:ilvl w:val="255"/>
          <w:numId w:val="0"/>
        </w:numPr>
        <w:kinsoku/>
        <w:wordWrap/>
        <w:overflowPunct/>
        <w:topLinePunct w:val="0"/>
        <w:autoSpaceDE/>
        <w:autoSpaceDN/>
        <w:bidi w:val="0"/>
        <w:adjustRightInd w:val="0"/>
        <w:snapToGrid w:val="0"/>
        <w:spacing w:line="580" w:lineRule="exact"/>
        <w:jc w:val="center"/>
        <w:rPr>
          <w:rFonts w:hint="default" w:ascii="Times New Roman" w:hAnsi="Times New Roman" w:eastAsia="方正黑体简体" w:cs="Times New Roman"/>
          <w:b/>
          <w:bCs w:val="0"/>
          <w:color w:val="auto"/>
          <w:sz w:val="32"/>
          <w:szCs w:val="32"/>
          <w:lang w:val="en-US" w:eastAsia="zh-CN"/>
        </w:rPr>
      </w:pPr>
    </w:p>
    <w:p w14:paraId="5B199CAB">
      <w:pPr>
        <w:keepNext w:val="0"/>
        <w:keepLines w:val="0"/>
        <w:pageBreakBefore w:val="0"/>
        <w:widowControl w:val="0"/>
        <w:numPr>
          <w:ilvl w:val="255"/>
          <w:numId w:val="0"/>
        </w:numPr>
        <w:kinsoku/>
        <w:wordWrap/>
        <w:overflowPunct/>
        <w:topLinePunct w:val="0"/>
        <w:autoSpaceDE/>
        <w:autoSpaceDN/>
        <w:bidi w:val="0"/>
        <w:adjustRightInd w:val="0"/>
        <w:snapToGrid w:val="0"/>
        <w:spacing w:line="580" w:lineRule="exact"/>
        <w:jc w:val="center"/>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思考和启发</w:t>
      </w:r>
    </w:p>
    <w:p w14:paraId="377CF031">
      <w:pPr>
        <w:keepNext w:val="0"/>
        <w:keepLines w:val="0"/>
        <w:pageBreakBefore w:val="0"/>
        <w:widowControl w:val="0"/>
        <w:numPr>
          <w:ilvl w:val="255"/>
          <w:numId w:val="0"/>
        </w:numPr>
        <w:kinsoku/>
        <w:wordWrap/>
        <w:overflowPunct/>
        <w:topLinePunct w:val="0"/>
        <w:autoSpaceDE/>
        <w:autoSpaceDN/>
        <w:bidi w:val="0"/>
        <w:adjustRightInd w:val="0"/>
        <w:snapToGrid w:val="0"/>
        <w:spacing w:line="580" w:lineRule="exact"/>
        <w:ind w:firstLine="643"/>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pacing w:val="6"/>
          <w:sz w:val="32"/>
          <w:szCs w:val="32"/>
        </w:rPr>
        <w:t>一要做到围绕中心、服务大局，依法将党中央和省委的决策部署转化为全社会的共同意志。</w:t>
      </w:r>
      <w:r>
        <w:rPr>
          <w:rFonts w:hint="default" w:ascii="Times New Roman" w:hAnsi="Times New Roman" w:eastAsia="方正仿宋简体" w:cs="Times New Roman"/>
          <w:b/>
          <w:bCs w:val="0"/>
          <w:color w:val="auto"/>
          <w:sz w:val="32"/>
          <w:szCs w:val="32"/>
        </w:rPr>
        <w:t>省人大常委会紧紧围绕落实党中央、省委决策部署，主动担当作为、依法履职尽责，通过行使重大事项决定权为我省普惠托育健康发展提供法治保障。这既是履行宪法和法律赋予的职权，又是坚持党对人大工作全面领导的重要体现。同时，在决定出台前后，省人大常委会及时向省委汇报，切实把党的领导贯穿于决定出台的全过程，确保正确政治方向。</w:t>
      </w:r>
    </w:p>
    <w:p w14:paraId="5A46C99E">
      <w:pPr>
        <w:keepNext w:val="0"/>
        <w:keepLines w:val="0"/>
        <w:pageBreakBefore w:val="0"/>
        <w:widowControl w:val="0"/>
        <w:kinsoku/>
        <w:wordWrap/>
        <w:overflowPunct/>
        <w:topLinePunct w:val="0"/>
        <w:autoSpaceDE/>
        <w:autoSpaceDN/>
        <w:bidi w:val="0"/>
        <w:spacing w:line="580" w:lineRule="exact"/>
        <w:ind w:firstLine="667" w:firstLineChars="200"/>
        <w:textAlignment w:val="baseline"/>
        <w:rPr>
          <w:rFonts w:hint="default" w:ascii="Times New Roman" w:hAnsi="Times New Roman" w:eastAsia="方正仿宋简体" w:cs="Times New Roman"/>
          <w:b/>
          <w:bCs w:val="0"/>
          <w:color w:val="auto"/>
          <w:spacing w:val="6"/>
          <w:sz w:val="32"/>
          <w:szCs w:val="32"/>
        </w:rPr>
      </w:pPr>
      <w:r>
        <w:rPr>
          <w:rFonts w:hint="default" w:ascii="Times New Roman" w:hAnsi="Times New Roman" w:eastAsia="方正楷体简体" w:cs="Times New Roman"/>
          <w:b/>
          <w:bCs w:val="0"/>
          <w:color w:val="auto"/>
          <w:spacing w:val="6"/>
          <w:sz w:val="32"/>
          <w:szCs w:val="32"/>
        </w:rPr>
        <w:t>二要做到</w:t>
      </w:r>
      <w:r>
        <w:rPr>
          <w:rFonts w:hint="default" w:ascii="Times New Roman" w:hAnsi="Times New Roman" w:eastAsia="方正楷体简体" w:cs="Times New Roman"/>
          <w:b/>
          <w:bCs w:val="0"/>
          <w:color w:val="auto"/>
          <w:kern w:val="0"/>
          <w:sz w:val="32"/>
          <w:szCs w:val="32"/>
        </w:rPr>
        <w:t>调查研究接地气、制度设计重实效，</w:t>
      </w:r>
      <w:r>
        <w:rPr>
          <w:rFonts w:hint="default" w:ascii="Times New Roman" w:hAnsi="Times New Roman" w:eastAsia="方正楷体简体" w:cs="Times New Roman"/>
          <w:b/>
          <w:bCs w:val="0"/>
          <w:color w:val="auto"/>
          <w:spacing w:val="6"/>
          <w:sz w:val="32"/>
          <w:szCs w:val="32"/>
        </w:rPr>
        <w:t>才能提高法治保障水平。</w:t>
      </w:r>
      <w:r>
        <w:rPr>
          <w:rFonts w:hint="default" w:ascii="Times New Roman" w:hAnsi="Times New Roman" w:eastAsia="方正仿宋简体" w:cs="Times New Roman"/>
          <w:b/>
          <w:bCs w:val="0"/>
          <w:color w:val="auto"/>
          <w:spacing w:val="6"/>
          <w:sz w:val="32"/>
          <w:szCs w:val="32"/>
        </w:rPr>
        <w:t>“小托育”事关民生“大幸福”。决定起草过程中，注重践行全过程人民民主理念，注重发挥人大代表和专家学者的作用，深入社区、托育机构等开展调研座谈，向社会公开征求意见建议，做到问需于民、问计于民。</w:t>
      </w:r>
      <w:r>
        <w:rPr>
          <w:rFonts w:hint="default" w:ascii="Times New Roman" w:hAnsi="Times New Roman" w:eastAsia="方正仿宋简体" w:cs="Times New Roman"/>
          <w:b/>
          <w:bCs w:val="0"/>
          <w:color w:val="auto"/>
          <w:sz w:val="32"/>
          <w:szCs w:val="32"/>
        </w:rPr>
        <w:t>针对群众普遍反映的普惠托育有效供给不足、服务质量不高、收费价格偏高等问题，决定从加大供给、提升质量、规范收费、理顺监管等切入，加快补齐托育服务发展短板，为人民群众提供质量有保障、价格可承受、方便可及的托育服务，确保</w:t>
      </w:r>
      <w:r>
        <w:rPr>
          <w:rFonts w:hint="default" w:ascii="Times New Roman" w:hAnsi="Times New Roman" w:eastAsia="方正仿宋简体" w:cs="Times New Roman"/>
          <w:b/>
          <w:bCs w:val="0"/>
          <w:color w:val="auto"/>
          <w:spacing w:val="6"/>
          <w:sz w:val="32"/>
          <w:szCs w:val="32"/>
        </w:rPr>
        <w:t>群众的“金点子”转化为制度设计的“金钥匙”。</w:t>
      </w:r>
    </w:p>
    <w:p w14:paraId="47474FC4">
      <w:pPr>
        <w:keepNext w:val="0"/>
        <w:keepLines w:val="0"/>
        <w:pageBreakBefore w:val="0"/>
        <w:widowControl w:val="0"/>
        <w:numPr>
          <w:ilvl w:val="255"/>
          <w:numId w:val="0"/>
        </w:numPr>
        <w:kinsoku/>
        <w:wordWrap/>
        <w:overflowPunct/>
        <w:topLinePunct w:val="0"/>
        <w:autoSpaceDE/>
        <w:autoSpaceDN/>
        <w:bidi w:val="0"/>
        <w:adjustRightInd w:val="0"/>
        <w:snapToGrid w:val="0"/>
        <w:spacing w:line="580" w:lineRule="exact"/>
        <w:ind w:firstLine="667" w:firstLineChars="200"/>
        <w:rPr>
          <w:rFonts w:hint="default" w:ascii="Times New Roman" w:hAnsi="Times New Roman" w:eastAsia="方正仿宋简体" w:cs="Times New Roman"/>
          <w:b/>
          <w:bCs w:val="0"/>
          <w:color w:val="auto"/>
          <w:spacing w:val="6"/>
          <w:sz w:val="32"/>
          <w:szCs w:val="32"/>
        </w:rPr>
      </w:pPr>
      <w:r>
        <w:rPr>
          <w:rFonts w:hint="default" w:ascii="Times New Roman" w:hAnsi="Times New Roman" w:eastAsia="方正楷体简体" w:cs="Times New Roman"/>
          <w:b/>
          <w:bCs w:val="0"/>
          <w:color w:val="auto"/>
          <w:spacing w:val="6"/>
          <w:sz w:val="32"/>
          <w:szCs w:val="32"/>
        </w:rPr>
        <w:t>三要做到法治保障与政策配套有效衔接，才能更好释放法治红利。</w:t>
      </w:r>
      <w:r>
        <w:rPr>
          <w:rFonts w:hint="default" w:ascii="Times New Roman" w:hAnsi="Times New Roman" w:eastAsia="方正仿宋简体" w:cs="Times New Roman"/>
          <w:b/>
          <w:bCs w:val="0"/>
          <w:color w:val="auto"/>
          <w:sz w:val="32"/>
          <w:szCs w:val="32"/>
        </w:rPr>
        <w:t>因受体例、结构限制，重大事项决定难以作出系统、详尽的规定。因此，决定规定省政府及有关部门应建立普惠托育部门联席会议、发展规划、医育协同、等级评审等配套制度。决定通过后，省人大有关方面多次与省卫生健康委等有关部门进行对接，督促相关配套制度尽早落实到位，切实发挥法治保障的整体功效。</w:t>
      </w:r>
    </w:p>
    <w:p w14:paraId="1D33EE2E">
      <w:pPr>
        <w:keepNext w:val="0"/>
        <w:keepLines w:val="0"/>
        <w:pageBreakBefore w:val="0"/>
        <w:widowControl w:val="0"/>
        <w:numPr>
          <w:ilvl w:val="255"/>
          <w:numId w:val="0"/>
        </w:numPr>
        <w:kinsoku/>
        <w:wordWrap/>
        <w:overflowPunct/>
        <w:topLinePunct w:val="0"/>
        <w:autoSpaceDE/>
        <w:autoSpaceDN/>
        <w:bidi w:val="0"/>
        <w:adjustRightInd w:val="0"/>
        <w:snapToGrid w:val="0"/>
        <w:spacing w:line="580" w:lineRule="exact"/>
        <w:ind w:firstLine="667" w:firstLineChars="200"/>
        <w:jc w:val="left"/>
        <w:rPr>
          <w:rFonts w:hint="default" w:ascii="Times New Roman" w:hAnsi="Times New Roman" w:eastAsia="方正仿宋简体" w:cs="Times New Roman"/>
          <w:b/>
          <w:bCs w:val="0"/>
          <w:color w:val="auto"/>
          <w:spacing w:val="6"/>
          <w:sz w:val="32"/>
          <w:szCs w:val="32"/>
        </w:rPr>
      </w:pPr>
      <w:r>
        <w:rPr>
          <w:rFonts w:hint="default" w:ascii="Times New Roman" w:hAnsi="Times New Roman" w:eastAsia="方正楷体简体" w:cs="Times New Roman"/>
          <w:b/>
          <w:bCs w:val="0"/>
          <w:color w:val="auto"/>
          <w:spacing w:val="6"/>
          <w:sz w:val="32"/>
          <w:szCs w:val="32"/>
        </w:rPr>
        <w:t>四要做到多权并用，才能更好保证决定得到有效贯彻施行。</w:t>
      </w:r>
      <w:r>
        <w:rPr>
          <w:rFonts w:hint="default" w:ascii="Times New Roman" w:hAnsi="Times New Roman" w:eastAsia="方正仿宋简体" w:cs="Times New Roman"/>
          <w:b/>
          <w:bCs w:val="0"/>
          <w:color w:val="auto"/>
          <w:spacing w:val="6"/>
          <w:sz w:val="32"/>
          <w:szCs w:val="32"/>
        </w:rPr>
        <w:t>作出决定并不意味着重大事项决定权已经完成，关键在于是否落实。只有把重大事项决定权与立法权、监督权和任免权结合起来，强化执行力度，才能保证重大事项决定权得到有效行使。下一步，各级人大还应充分运用执法检查、听取审议工作报告、组织代表视察等监督手段，适时对决定实施情况开展跟踪督查，保证人大所作的决定执行到位，维护重大事项决定权的权威性和严肃性，确保实效。</w:t>
      </w:r>
    </w:p>
    <w:p w14:paraId="2A585E27">
      <w:pPr>
        <w:keepLines w:val="0"/>
        <w:pageBreakBefore w:val="0"/>
        <w:kinsoku/>
        <w:wordWrap/>
        <w:topLinePunct w:val="0"/>
        <w:autoSpaceDE/>
        <w:autoSpaceDN/>
        <w:bidi w:val="0"/>
        <w:rPr>
          <w:rFonts w:hint="default" w:ascii="Times New Roman" w:hAnsi="Times New Roman" w:eastAsia="方正小标宋简体" w:cs="Times New Roman"/>
          <w:b/>
          <w:bCs w:val="0"/>
          <w:color w:val="auto"/>
          <w:sz w:val="44"/>
          <w:szCs w:val="44"/>
          <w:lang w:val="en-US" w:eastAsia="zh-CN"/>
        </w:rPr>
      </w:pPr>
      <w:r>
        <w:rPr>
          <w:rFonts w:hint="default" w:ascii="Times New Roman" w:hAnsi="Times New Roman" w:eastAsia="方正小标宋简体" w:cs="Times New Roman"/>
          <w:b/>
          <w:bCs w:val="0"/>
          <w:color w:val="auto"/>
          <w:sz w:val="44"/>
          <w:szCs w:val="44"/>
          <w:lang w:val="en-US" w:eastAsia="zh-CN"/>
        </w:rPr>
        <w:br w:type="page"/>
      </w:r>
    </w:p>
    <w:p w14:paraId="174669A4">
      <w:pPr>
        <w:pStyle w:val="12"/>
        <w:keepLines w:val="0"/>
        <w:pageBreakBefore w:val="0"/>
        <w:kinsoku/>
        <w:wordWrap/>
        <w:topLinePunct w:val="0"/>
        <w:autoSpaceDE/>
        <w:autoSpaceDN/>
        <w:bidi w:val="0"/>
        <w:rPr>
          <w:rFonts w:hint="default" w:ascii="Times New Roman" w:hAnsi="Times New Roman" w:cs="Times New Roman"/>
          <w:b/>
          <w:bCs w:val="0"/>
          <w:color w:val="auto"/>
          <w:lang w:val="en-US" w:eastAsia="zh-CN"/>
        </w:rPr>
      </w:pPr>
    </w:p>
    <w:p w14:paraId="2CF3F7B3">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1" w:name="_Toc29726"/>
      <w:r>
        <w:rPr>
          <w:rFonts w:hint="default" w:ascii="Times New Roman" w:hAnsi="Times New Roman" w:eastAsia="方正小标宋简体" w:cs="Times New Roman"/>
          <w:b/>
          <w:bCs w:val="0"/>
          <w:color w:val="auto"/>
          <w:highlight w:val="none"/>
          <w:lang w:val="en-US" w:eastAsia="zh-CN"/>
        </w:rPr>
        <w:t>积极探索文化领域协同立法新路径</w:t>
      </w:r>
    </w:p>
    <w:p w14:paraId="5644C213">
      <w:pPr>
        <w:keepLines w:val="0"/>
        <w:pageBreakBefore w:val="0"/>
        <w:kinsoku/>
        <w:wordWrap/>
        <w:topLinePunct w:val="0"/>
        <w:autoSpaceDE/>
        <w:autoSpaceDN/>
        <w:bidi w:val="0"/>
        <w:jc w:val="center"/>
        <w:rPr>
          <w:rFonts w:hint="default" w:ascii="Times New Roman" w:hAnsi="Times New Roman" w:eastAsia="方正小标宋简体" w:cs="Times New Roman"/>
          <w:b/>
          <w:bCs/>
          <w:color w:val="auto"/>
          <w:sz w:val="32"/>
          <w:szCs w:val="32"/>
        </w:rPr>
      </w:pPr>
    </w:p>
    <w:p w14:paraId="5333695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案例背景</w:t>
      </w:r>
    </w:p>
    <w:p w14:paraId="4564318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auto"/>
          <w:sz w:val="32"/>
          <w:szCs w:val="40"/>
          <w:highlight w:val="none"/>
          <w:lang w:val="en-US" w:eastAsia="zh-CN"/>
        </w:rPr>
      </w:pPr>
      <w:r>
        <w:rPr>
          <w:rFonts w:hint="default" w:ascii="Times New Roman" w:hAnsi="Times New Roman" w:eastAsia="方正仿宋简体" w:cs="Times New Roman"/>
          <w:b/>
          <w:bCs/>
          <w:color w:val="auto"/>
          <w:sz w:val="32"/>
          <w:szCs w:val="32"/>
          <w:highlight w:val="none"/>
        </w:rPr>
        <w:t>川渝两地山水相连、文脉相通、</w:t>
      </w:r>
      <w:r>
        <w:rPr>
          <w:rFonts w:hint="default" w:ascii="Times New Roman" w:hAnsi="Times New Roman" w:eastAsia="方正仿宋简体" w:cs="Times New Roman"/>
          <w:b/>
          <w:bCs/>
          <w:color w:val="auto"/>
          <w:sz w:val="32"/>
          <w:szCs w:val="32"/>
          <w:highlight w:val="none"/>
          <w:lang w:val="en-US" w:eastAsia="zh-CN"/>
        </w:rPr>
        <w:t>人文</w:t>
      </w:r>
      <w:r>
        <w:rPr>
          <w:rFonts w:hint="default" w:ascii="Times New Roman" w:hAnsi="Times New Roman" w:eastAsia="方正仿宋简体" w:cs="Times New Roman"/>
          <w:b/>
          <w:bCs/>
          <w:color w:val="auto"/>
          <w:sz w:val="32"/>
          <w:szCs w:val="32"/>
          <w:highlight w:val="none"/>
        </w:rPr>
        <w:t>相亲。川剧是</w:t>
      </w:r>
      <w:r>
        <w:rPr>
          <w:rFonts w:hint="default" w:ascii="Times New Roman" w:hAnsi="Times New Roman" w:eastAsia="方正仿宋简体" w:cs="Times New Roman"/>
          <w:b/>
          <w:bCs/>
          <w:color w:val="auto"/>
          <w:sz w:val="32"/>
          <w:szCs w:val="32"/>
          <w:highlight w:val="none"/>
          <w:lang w:val="en-US" w:eastAsia="zh-CN"/>
        </w:rPr>
        <w:t>巴蜀大地</w:t>
      </w:r>
      <w:r>
        <w:rPr>
          <w:rFonts w:hint="default" w:ascii="Times New Roman" w:hAnsi="Times New Roman" w:eastAsia="方正仿宋简体" w:cs="Times New Roman"/>
          <w:b/>
          <w:bCs/>
          <w:color w:val="auto"/>
          <w:sz w:val="32"/>
          <w:szCs w:val="32"/>
          <w:highlight w:val="none"/>
        </w:rPr>
        <w:t>宝贵的文化名片，承载着两地人民共同的文化乡愁、历史记忆。</w:t>
      </w:r>
      <w:r>
        <w:rPr>
          <w:rFonts w:hint="default" w:ascii="Times New Roman" w:hAnsi="Times New Roman" w:eastAsia="方正仿宋简体" w:cs="Times New Roman"/>
          <w:b/>
          <w:color w:val="auto"/>
          <w:kern w:val="0"/>
          <w:sz w:val="32"/>
          <w:szCs w:val="32"/>
          <w:highlight w:val="none"/>
          <w:lang w:val="en-US" w:eastAsia="zh-CN"/>
        </w:rPr>
        <w:t>21世纪以来，</w:t>
      </w:r>
      <w:r>
        <w:rPr>
          <w:rFonts w:hint="default" w:ascii="Times New Roman" w:hAnsi="Times New Roman" w:eastAsia="方正仿宋简体" w:cs="Times New Roman"/>
          <w:b/>
          <w:color w:val="auto"/>
          <w:kern w:val="0"/>
          <w:sz w:val="32"/>
          <w:szCs w:val="32"/>
          <w:highlight w:val="none"/>
        </w:rPr>
        <w:t>随着经济社会</w:t>
      </w:r>
      <w:r>
        <w:rPr>
          <w:rFonts w:hint="default" w:ascii="Times New Roman" w:hAnsi="Times New Roman" w:eastAsia="方正仿宋简体" w:cs="Times New Roman"/>
          <w:b/>
          <w:color w:val="auto"/>
          <w:kern w:val="0"/>
          <w:sz w:val="32"/>
          <w:szCs w:val="32"/>
          <w:highlight w:val="none"/>
          <w:lang w:eastAsia="zh-CN"/>
        </w:rPr>
        <w:t>持续</w:t>
      </w:r>
      <w:r>
        <w:rPr>
          <w:rFonts w:hint="default" w:ascii="Times New Roman" w:hAnsi="Times New Roman" w:eastAsia="方正仿宋简体" w:cs="Times New Roman"/>
          <w:b/>
          <w:color w:val="auto"/>
          <w:kern w:val="0"/>
          <w:sz w:val="32"/>
          <w:szCs w:val="32"/>
          <w:highlight w:val="none"/>
        </w:rPr>
        <w:t>发展，文化市场风格快速切换，川剧面临门庭冷落的尴尬局面</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b/>
          <w:bCs/>
          <w:color w:val="auto"/>
          <w:sz w:val="32"/>
          <w:szCs w:val="40"/>
          <w:highlight w:val="none"/>
          <w:lang w:val="en-US" w:eastAsia="zh-CN"/>
        </w:rPr>
        <w:t>为此，四川省人大常委会坚持守正创新，勇担新的文化使命，以法治思维助推川剧保护传承，携手重庆市人大常委会开展协同立法工作。</w:t>
      </w:r>
      <w:r>
        <w:rPr>
          <w:rFonts w:hint="default" w:ascii="Times New Roman" w:hAnsi="Times New Roman" w:eastAsia="方正仿宋简体" w:cs="Times New Roman"/>
          <w:b/>
          <w:bCs/>
          <w:color w:val="auto"/>
          <w:sz w:val="32"/>
          <w:szCs w:val="40"/>
          <w:highlight w:val="none"/>
        </w:rPr>
        <w:t>2024年</w:t>
      </w:r>
      <w:r>
        <w:rPr>
          <w:rFonts w:hint="default" w:ascii="Times New Roman" w:hAnsi="Times New Roman" w:eastAsia="方正仿宋简体" w:cs="Times New Roman"/>
          <w:b/>
          <w:bCs/>
          <w:color w:val="auto"/>
          <w:sz w:val="32"/>
          <w:szCs w:val="40"/>
          <w:highlight w:val="none"/>
          <w:lang w:val="en-US" w:eastAsia="zh-CN"/>
        </w:rPr>
        <w:t>7</w:t>
      </w:r>
      <w:r>
        <w:rPr>
          <w:rFonts w:hint="default" w:ascii="Times New Roman" w:hAnsi="Times New Roman" w:eastAsia="方正仿宋简体" w:cs="Times New Roman"/>
          <w:b/>
          <w:bCs/>
          <w:color w:val="auto"/>
          <w:sz w:val="32"/>
          <w:szCs w:val="40"/>
          <w:highlight w:val="none"/>
        </w:rPr>
        <w:t>月</w:t>
      </w:r>
      <w:r>
        <w:rPr>
          <w:rFonts w:hint="default" w:ascii="Times New Roman" w:hAnsi="Times New Roman" w:eastAsia="方正仿宋简体" w:cs="Times New Roman"/>
          <w:b/>
          <w:bCs/>
          <w:color w:val="auto"/>
          <w:sz w:val="32"/>
          <w:szCs w:val="40"/>
          <w:highlight w:val="none"/>
          <w:lang w:eastAsia="zh-CN"/>
        </w:rPr>
        <w:t>，</w:t>
      </w:r>
      <w:r>
        <w:rPr>
          <w:rFonts w:hint="default" w:ascii="Times New Roman" w:hAnsi="Times New Roman" w:eastAsia="方正仿宋简体" w:cs="Times New Roman"/>
          <w:b/>
          <w:bCs/>
          <w:color w:val="auto"/>
          <w:sz w:val="32"/>
          <w:szCs w:val="40"/>
          <w:highlight w:val="none"/>
          <w:lang w:val="en-US" w:eastAsia="zh-CN"/>
        </w:rPr>
        <w:t>川渝两省市分别审议通过川剧保护传承条例，并于9月1日起同步实施。8月26日，全国人大教科文卫委向各省（区、市）发出简报介绍有关做法。9月18日，川渝两省市人大常委会在成都联合召开条例实施座谈会，全国人大常委会委员、教科文卫委主任委员雒树刚到会指导并讲话，肯定两省市“在文化领域开展省际实体性协同立法，这在全国尚属首次”。</w:t>
      </w:r>
    </w:p>
    <w:p w14:paraId="52D65CA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color w:val="auto"/>
          <w:sz w:val="32"/>
          <w:szCs w:val="40"/>
          <w:highlight w:val="none"/>
          <w:lang w:val="en-US" w:eastAsia="zh-CN"/>
        </w:rPr>
      </w:pPr>
    </w:p>
    <w:p w14:paraId="17876F2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主要做法及成效</w:t>
      </w:r>
    </w:p>
    <w:p w14:paraId="549352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color w:val="auto"/>
          <w:sz w:val="32"/>
          <w:szCs w:val="32"/>
        </w:rPr>
      </w:pPr>
      <w:r>
        <w:rPr>
          <w:rFonts w:hint="default" w:ascii="Times New Roman" w:hAnsi="Times New Roman" w:eastAsia="方正仿宋简体" w:cs="Times New Roman"/>
          <w:b/>
          <w:bCs/>
          <w:color w:val="auto"/>
          <w:sz w:val="32"/>
          <w:szCs w:val="32"/>
        </w:rPr>
        <w:t>推进川剧协同立法的过程，是一个践行守正创新理念的过程。这一过程，主要呈现以下特点：</w:t>
      </w:r>
    </w:p>
    <w:p w14:paraId="5BD6D697">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一是调研为基，民意为要。</w:t>
      </w:r>
      <w:r>
        <w:rPr>
          <w:rFonts w:hint="default" w:ascii="Times New Roman" w:hAnsi="Times New Roman" w:eastAsia="方正仿宋简体" w:cs="Times New Roman"/>
          <w:b/>
          <w:bCs/>
          <w:color w:val="auto"/>
          <w:sz w:val="32"/>
          <w:szCs w:val="32"/>
        </w:rPr>
        <w:t>四川省人大常委会调研组把省内川剧院团跑了个遍。会同重庆市人大常委会互访调研6次，共同赴陕西省学习秦腔保护立法经验。邀请各级人大代表参与立法调研、起草、论证等工作，充分发挥定点联系县、基层立法联系点等“民意直通车”作用。针对人大代表、人民群众反映的政府投入力度不足、川剧人才培养、川剧进校园等问题，条例均作出了回应。</w:t>
      </w:r>
    </w:p>
    <w:p w14:paraId="4E537504">
      <w:pPr>
        <w:keepNext w:val="0"/>
        <w:keepLines w:val="0"/>
        <w:pageBreakBefore w:val="0"/>
        <w:widowControl w:val="0"/>
        <w:numPr>
          <w:ilvl w:val="255"/>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二是求同存异，大同小异。</w:t>
      </w:r>
      <w:r>
        <w:rPr>
          <w:rStyle w:val="30"/>
          <w:rFonts w:hint="default" w:ascii="Times New Roman" w:hAnsi="Times New Roman" w:eastAsia="方正仿宋简体" w:cs="Times New Roman"/>
          <w:b/>
          <w:color w:val="auto"/>
          <w:sz w:val="32"/>
          <w:szCs w:val="32"/>
        </w:rPr>
        <w:t>采取“条例+条例”的立法模式，</w:t>
      </w:r>
      <w:r>
        <w:rPr>
          <w:rFonts w:hint="default" w:ascii="Times New Roman" w:hAnsi="Times New Roman" w:eastAsia="方正仿宋简体" w:cs="Times New Roman"/>
          <w:b/>
          <w:bCs/>
          <w:color w:val="auto"/>
          <w:sz w:val="32"/>
          <w:szCs w:val="32"/>
        </w:rPr>
        <w:t>构建相对统一、相互衔接的条款内容。“大同”体现在立法目的、适用范围、部门职责、保护传承措施等方面保持一致；“小异”体现在院团发展、人才培养等8个方面分别制定差异条款，着力解决各自存在的体制性障碍、机制性梗阻、政策性瓶颈。</w:t>
      </w:r>
    </w:p>
    <w:p w14:paraId="5F2CF0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三是着眼发展，问题导向。</w:t>
      </w:r>
      <w:r>
        <w:rPr>
          <w:rFonts w:hint="default" w:ascii="Times New Roman" w:hAnsi="Times New Roman" w:eastAsia="方正仿宋简体" w:cs="Times New Roman"/>
          <w:b/>
          <w:bCs/>
          <w:color w:val="auto"/>
          <w:sz w:val="32"/>
          <w:szCs w:val="32"/>
        </w:rPr>
        <w:t>坚持“围绕川剧振兴抓保护传承，抓好保护传承促川剧振兴发展”的思路，重点聚焦“有人演”“有人看”等问题，从人才培养、川剧进校园、职称评审和薪酬管理等方面进行了规定；聚焦“演什么”“怎么演”问题，从剧目创作、演出交流、理论研究等方面进行了规定；聚焦“影响力”“传播力”问题，从宣传推广、线上传播、文旅融合等方面进行了规定，使立法条文更加精准、更加管用。</w:t>
      </w:r>
    </w:p>
    <w:p w14:paraId="1667E1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四是“小快灵便”，突出特色。</w:t>
      </w:r>
      <w:r>
        <w:rPr>
          <w:rFonts w:hint="default" w:ascii="Times New Roman" w:hAnsi="Times New Roman" w:eastAsia="方正仿宋简体" w:cs="Times New Roman"/>
          <w:b/>
          <w:bCs/>
          <w:color w:val="auto"/>
          <w:sz w:val="32"/>
          <w:szCs w:val="32"/>
        </w:rPr>
        <w:t>在法规体例上，不搞“大块头”，有几条写几条，条例文本更显简洁精干。在法规内容上，不刻意追求“高大上”，减少“穿靴戴帽”条款、准用条款，避免照搬照抄上位法内容。在制度设计上，重点在解决实际问题上下功夫，力争使每一条规范都能够在实践中落地生根、开花结果。</w:t>
      </w:r>
    </w:p>
    <w:p w14:paraId="73D839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条例颁布实施后，受到社会广泛关注和好评，川剧从业者、广大戏迷倍感振奋。有关方面普遍认为，这是一场文化领域的法治“及时雨”，产生了良好的社会效果。</w:t>
      </w:r>
    </w:p>
    <w:p w14:paraId="15C628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一是以法治力量助推成渝地区双城经济圈文化建设。</w:t>
      </w:r>
      <w:r>
        <w:rPr>
          <w:rFonts w:hint="default" w:ascii="Times New Roman" w:hAnsi="Times New Roman" w:eastAsia="方正仿宋简体" w:cs="Times New Roman"/>
          <w:b/>
          <w:bCs/>
          <w:color w:val="auto"/>
          <w:sz w:val="32"/>
          <w:szCs w:val="32"/>
        </w:rPr>
        <w:t>中共中央、国务院印发的《成渝地区双城经济圈建设规划纲要》提出，支持川剧等非物质文化遗产的保护传承发展。川渝两省市人大常委会同向发力，共演一出戏，共立一部法，探索川剧振兴发展的法治保障新路子，推动川剧这出“好戏”成为两地文化合作的“大戏”。川剧协同立法，以川渝人大合作的重头戏丰富了“共唱双城记、共建经济圈”的文化内涵。</w:t>
      </w:r>
    </w:p>
    <w:p w14:paraId="6E14868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二是以担当精神助推川剧振兴发展和文化强省建设。</w:t>
      </w:r>
      <w:r>
        <w:rPr>
          <w:rFonts w:hint="default" w:ascii="Times New Roman" w:hAnsi="Times New Roman" w:eastAsia="方正仿宋简体" w:cs="Times New Roman"/>
          <w:b/>
          <w:bCs/>
          <w:color w:val="auto"/>
          <w:sz w:val="32"/>
          <w:szCs w:val="32"/>
        </w:rPr>
        <w:t>四川省委省政府将川剧事业发展作为文化强省建设的重要内容，支持开展抢救性保护、院团建设、剧目创排等工作，推动川剧振兴发展取得明显进展。但川剧发展仍面临</w:t>
      </w:r>
      <w:r>
        <w:rPr>
          <w:rFonts w:hint="default" w:ascii="Times New Roman" w:hAnsi="Times New Roman" w:eastAsia="方正仿宋简体" w:cs="Times New Roman"/>
          <w:b/>
          <w:bCs/>
          <w:color w:val="auto"/>
          <w:sz w:val="32"/>
          <w:szCs w:val="32"/>
          <w:lang w:val="en-US" w:eastAsia="zh-CN"/>
        </w:rPr>
        <w:t>川剧</w:t>
      </w:r>
      <w:r>
        <w:rPr>
          <w:rFonts w:hint="default" w:ascii="Times New Roman" w:hAnsi="Times New Roman" w:eastAsia="方正仿宋简体" w:cs="Times New Roman"/>
          <w:b/>
          <w:bCs/>
          <w:color w:val="auto"/>
          <w:sz w:val="32"/>
          <w:szCs w:val="32"/>
        </w:rPr>
        <w:t>人才紧缺、传承链条断裂、基层院团难以为继等严峻挑战，各方面期盼和呼吁把川剧这张文化名片擦得更亮。四川省人大常委会顺应发展所需、民心所愿，</w:t>
      </w:r>
      <w:r>
        <w:rPr>
          <w:rFonts w:hint="default" w:ascii="Times New Roman" w:hAnsi="Times New Roman" w:eastAsia="方正仿宋简体" w:cs="Times New Roman"/>
          <w:b/>
          <w:bCs/>
          <w:color w:val="auto"/>
          <w:sz w:val="32"/>
          <w:szCs w:val="32"/>
          <w:lang w:val="en-US" w:eastAsia="zh-CN"/>
        </w:rPr>
        <w:t>及时</w:t>
      </w:r>
      <w:r>
        <w:rPr>
          <w:rFonts w:hint="default" w:ascii="Times New Roman" w:hAnsi="Times New Roman" w:eastAsia="方正仿宋简体" w:cs="Times New Roman"/>
          <w:b/>
          <w:bCs/>
          <w:color w:val="auto"/>
          <w:sz w:val="32"/>
          <w:szCs w:val="32"/>
        </w:rPr>
        <w:t>把川剧保护传承列入立法计划，与重庆市人大常委会联手推进立法进程，努力从法治层面为川剧振兴发展和文化强省建设助力赋能。</w:t>
      </w:r>
    </w:p>
    <w:p w14:paraId="0F80CD6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楷体简体" w:cs="Times New Roman"/>
          <w:b/>
          <w:bCs/>
          <w:color w:val="auto"/>
          <w:sz w:val="32"/>
          <w:szCs w:val="32"/>
        </w:rPr>
        <w:t>三是以系统观念助推川剧保护传承条例宣传实施。</w:t>
      </w:r>
      <w:r>
        <w:rPr>
          <w:rFonts w:hint="default" w:ascii="Times New Roman" w:hAnsi="Times New Roman" w:eastAsia="方正仿宋简体" w:cs="Times New Roman"/>
          <w:b/>
          <w:bCs/>
          <w:color w:val="auto"/>
          <w:sz w:val="32"/>
          <w:szCs w:val="32"/>
        </w:rPr>
        <w:t>条例立得好，更需要把它宣传好、实施好。我们把条例制定、宣传和实施作为一个完整的工作链条，系统谋划、统筹推进。先后组织召开了专场新闻发布会、条例实施座谈会，发挥全媒体融合平台的传播优势，着力讲好“人大故事、民主故事”。首次制作川剧立法专刊，首次拍摄中英文双语立法宣传片，首次在外网宣传四川人大立法工作，首次使用视频访谈做宣传报道，形成了立法宣传阵势。相关媒体发稿200余条次，点击量超过3000万次，川剧话题连续多日登上同城热搜，一个“知川剧、看川剧、爱川剧”的新时尚正悄然兴起。在川渝第六届川剧节开幕之际，两省市人大常委会联合召开川剧保护传承条例实施座谈会，为该条例的宣传实施注入了加持力量。省川剧院主要负责人认为，“川剧立法办成了多年想办但未能办成的大事，川剧事业必将迎来振兴的春天”。有关民营川剧院团负责人说，“川剧立法犹如春雷滚滚，给民间川剧带来了春雨”。</w:t>
      </w:r>
    </w:p>
    <w:p w14:paraId="5DF3373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color w:val="auto"/>
          <w:sz w:val="32"/>
          <w:szCs w:val="32"/>
        </w:rPr>
      </w:pPr>
    </w:p>
    <w:p w14:paraId="4BAB94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bCs/>
          <w:color w:val="auto"/>
          <w:sz w:val="32"/>
          <w:szCs w:val="32"/>
          <w:lang w:val="en-US" w:eastAsia="zh-CN"/>
        </w:rPr>
      </w:pPr>
      <w:r>
        <w:rPr>
          <w:rFonts w:hint="default" w:ascii="Times New Roman" w:hAnsi="Times New Roman" w:eastAsia="方正黑体简体" w:cs="Times New Roman"/>
          <w:b/>
          <w:bCs/>
          <w:color w:val="auto"/>
          <w:sz w:val="32"/>
          <w:szCs w:val="32"/>
          <w:lang w:val="en-US" w:eastAsia="zh-CN"/>
        </w:rPr>
        <w:t>思考和启发</w:t>
      </w:r>
    </w:p>
    <w:p w14:paraId="398AC22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color w:val="auto"/>
          <w:sz w:val="36"/>
          <w:szCs w:val="36"/>
        </w:rPr>
      </w:pPr>
      <w:r>
        <w:rPr>
          <w:rFonts w:hint="default" w:ascii="Times New Roman" w:hAnsi="Times New Roman" w:eastAsia="方正仿宋简体" w:cs="Times New Roman"/>
          <w:b/>
          <w:color w:val="auto"/>
          <w:sz w:val="32"/>
          <w:szCs w:val="32"/>
        </w:rPr>
        <w:t>总结川剧协同立法进程，深切体会到：</w:t>
      </w:r>
      <w:r>
        <w:rPr>
          <w:rFonts w:hint="default" w:ascii="Times New Roman" w:hAnsi="Times New Roman" w:eastAsia="方正楷体简体" w:cs="Times New Roman"/>
          <w:b/>
          <w:bCs/>
          <w:color w:val="auto"/>
          <w:sz w:val="32"/>
          <w:szCs w:val="32"/>
        </w:rPr>
        <w:t>必须坚持正确的政治方向，</w:t>
      </w:r>
      <w:r>
        <w:rPr>
          <w:rFonts w:hint="default" w:ascii="Times New Roman" w:hAnsi="Times New Roman" w:eastAsia="方正仿宋简体" w:cs="Times New Roman"/>
          <w:b/>
          <w:bCs/>
          <w:color w:val="auto"/>
          <w:sz w:val="32"/>
          <w:szCs w:val="40"/>
          <w:lang w:val="en-US" w:eastAsia="zh-CN"/>
        </w:rPr>
        <w:t>把川剧立法工作放在学习贯彻习近平文化思想、勇担新的文化使命的的大局中来思考，放在弘扬中华优秀传统文化的实践中来谋划，从而找准立法的切入点和着力点</w:t>
      </w:r>
      <w:r>
        <w:rPr>
          <w:rFonts w:hint="default" w:ascii="Times New Roman" w:hAnsi="Times New Roman" w:eastAsia="方正仿宋简体" w:cs="Times New Roman"/>
          <w:b/>
          <w:bCs/>
          <w:color w:val="auto"/>
          <w:sz w:val="32"/>
          <w:szCs w:val="32"/>
        </w:rPr>
        <w:t>；</w:t>
      </w:r>
      <w:r>
        <w:rPr>
          <w:rFonts w:hint="default" w:ascii="Times New Roman" w:hAnsi="Times New Roman" w:eastAsia="方正楷体简体" w:cs="Times New Roman"/>
          <w:b/>
          <w:bCs/>
          <w:color w:val="auto"/>
          <w:sz w:val="32"/>
          <w:szCs w:val="32"/>
        </w:rPr>
        <w:t>必须抓住立法质量这个关键，</w:t>
      </w:r>
      <w:r>
        <w:rPr>
          <w:rFonts w:hint="default" w:ascii="Times New Roman" w:hAnsi="Times New Roman" w:eastAsia="方正仿宋简体" w:cs="Times New Roman"/>
          <w:b/>
          <w:bCs/>
          <w:color w:val="auto"/>
          <w:sz w:val="32"/>
          <w:szCs w:val="32"/>
        </w:rPr>
        <w:t>充分发挥人大的主导作用，立足“解决真问题、真解决问题”，做深立法调研、做实制度设计、做足条文功课，确保立</w:t>
      </w:r>
      <w:r>
        <w:rPr>
          <w:rFonts w:hint="default" w:ascii="Times New Roman" w:hAnsi="Times New Roman" w:eastAsia="方正仿宋简体" w:cs="Times New Roman"/>
          <w:b/>
          <w:color w:val="auto"/>
          <w:sz w:val="32"/>
          <w:szCs w:val="32"/>
        </w:rPr>
        <w:t>得住、可操作、能管用；</w:t>
      </w:r>
      <w:r>
        <w:rPr>
          <w:rFonts w:hint="default" w:ascii="Times New Roman" w:hAnsi="Times New Roman" w:eastAsia="方正楷体简体" w:cs="Times New Roman"/>
          <w:b/>
          <w:bCs/>
          <w:color w:val="auto"/>
          <w:sz w:val="32"/>
          <w:szCs w:val="32"/>
        </w:rPr>
        <w:t>必须坚定践行全过程人民民主，</w:t>
      </w:r>
      <w:r>
        <w:rPr>
          <w:rFonts w:hint="default" w:ascii="Times New Roman" w:hAnsi="Times New Roman" w:eastAsia="方正仿宋简体" w:cs="Times New Roman"/>
          <w:b/>
          <w:color w:val="auto"/>
          <w:sz w:val="32"/>
          <w:szCs w:val="32"/>
        </w:rPr>
        <w:t>通过开展网上问卷调查、公开征集意见，多次召开座谈会、听证会、专家论证会，与“梅花奖”得主、院团负责人、戏迷代表、中小学师生面对面交流等途径，把人民群众的“金点子”转换成制度设计的“金钥匙”。</w:t>
      </w:r>
    </w:p>
    <w:p w14:paraId="75324064">
      <w:pPr>
        <w:keepLines w:val="0"/>
        <w:pageBreakBefore w:val="0"/>
        <w:kinsoku/>
        <w:wordWrap/>
        <w:topLinePunct w:val="0"/>
        <w:autoSpaceDE/>
        <w:autoSpaceDN/>
        <w:bidi w:val="0"/>
        <w:spacing w:line="600" w:lineRule="exact"/>
        <w:jc w:val="center"/>
        <w:textAlignment w:val="baseline"/>
        <w:rPr>
          <w:rFonts w:hint="default" w:ascii="Times New Roman" w:hAnsi="Times New Roman" w:eastAsia="方正小标宋简体" w:cs="Times New Roman"/>
          <w:b/>
          <w:bCs w:val="0"/>
          <w:color w:val="auto"/>
          <w:sz w:val="44"/>
          <w:szCs w:val="44"/>
        </w:rPr>
      </w:pPr>
      <w:r>
        <w:rPr>
          <w:rFonts w:hint="default" w:ascii="Times New Roman" w:hAnsi="Times New Roman" w:eastAsia="方正小标宋简体" w:cs="Times New Roman"/>
          <w:b/>
          <w:bCs w:val="0"/>
          <w:color w:val="auto"/>
          <w:sz w:val="44"/>
          <w:szCs w:val="44"/>
          <w:lang w:val="en-US" w:eastAsia="zh-CN"/>
        </w:rPr>
        <w:br w:type="page"/>
      </w:r>
    </w:p>
    <w:p w14:paraId="71B6F31D">
      <w:pPr>
        <w:keepLines w:val="0"/>
        <w:pageBreakBefore w:val="0"/>
        <w:kinsoku/>
        <w:wordWrap/>
        <w:topLinePunct w:val="0"/>
        <w:autoSpaceDE/>
        <w:autoSpaceDN/>
        <w:bidi w:val="0"/>
        <w:spacing w:line="600" w:lineRule="exact"/>
        <w:jc w:val="center"/>
        <w:textAlignment w:val="baseline"/>
        <w:rPr>
          <w:rFonts w:hint="default" w:ascii="Times New Roman" w:hAnsi="Times New Roman" w:eastAsia="方正小标宋简体" w:cs="Times New Roman"/>
          <w:b/>
          <w:bCs w:val="0"/>
          <w:color w:val="auto"/>
          <w:sz w:val="44"/>
          <w:szCs w:val="44"/>
          <w:lang w:val="en" w:eastAsia="zh-CN"/>
        </w:rPr>
      </w:pPr>
    </w:p>
    <w:p w14:paraId="54AD91AE">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r>
        <w:rPr>
          <w:rFonts w:hint="default" w:ascii="Times New Roman" w:hAnsi="Times New Roman" w:eastAsia="方正小标宋简体" w:cs="Times New Roman"/>
          <w:b/>
          <w:bCs w:val="0"/>
          <w:color w:val="auto"/>
          <w:highlight w:val="none"/>
          <w:lang w:val="en-US" w:eastAsia="zh-CN"/>
        </w:rPr>
        <w:t>助推市级公立医院高质量发展的实践与启示</w:t>
      </w:r>
      <w:bookmarkEnd w:id="1"/>
    </w:p>
    <w:p w14:paraId="7685B22D">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楷体简体" w:cs="Times New Roman"/>
          <w:b/>
          <w:bCs w:val="0"/>
          <w:color w:val="auto"/>
          <w:kern w:val="2"/>
          <w:sz w:val="32"/>
          <w:szCs w:val="32"/>
          <w:highlight w:val="none"/>
          <w:lang w:val="en-US" w:eastAsia="zh-CN" w:bidi="ar-SA"/>
        </w:rPr>
      </w:pPr>
      <w:r>
        <w:rPr>
          <w:rFonts w:hint="default" w:ascii="Times New Roman" w:hAnsi="Times New Roman" w:eastAsia="方正楷体简体" w:cs="Times New Roman"/>
          <w:b/>
          <w:bCs w:val="0"/>
          <w:color w:val="auto"/>
          <w:kern w:val="2"/>
          <w:sz w:val="32"/>
          <w:szCs w:val="32"/>
          <w:highlight w:val="none"/>
          <w:lang w:val="en-US" w:eastAsia="zh-CN" w:bidi="ar-SA"/>
        </w:rPr>
        <w:t>成都市人大常委会</w:t>
      </w:r>
    </w:p>
    <w:p w14:paraId="115BAC6D">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楷体简体" w:cs="Times New Roman"/>
          <w:b/>
          <w:bCs w:val="0"/>
          <w:color w:val="auto"/>
          <w:kern w:val="2"/>
          <w:sz w:val="32"/>
          <w:szCs w:val="32"/>
          <w:highlight w:val="none"/>
          <w:lang w:val="en-US" w:eastAsia="zh-CN" w:bidi="ar-SA"/>
        </w:rPr>
      </w:pPr>
    </w:p>
    <w:p w14:paraId="30535EBF">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1D868566">
      <w:pPr>
        <w:pStyle w:val="18"/>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方正黑体简体" w:cs="Times New Roman"/>
          <w:b/>
          <w:bCs w:val="0"/>
          <w:color w:val="auto"/>
          <w:kern w:val="2"/>
          <w:sz w:val="32"/>
          <w:szCs w:val="32"/>
          <w:highlight w:val="none"/>
          <w:lang w:val="en-US" w:eastAsia="zh-CN" w:bidi="ar-SA"/>
        </w:rPr>
      </w:pPr>
      <w:r>
        <w:rPr>
          <w:rFonts w:hint="default" w:ascii="Times New Roman" w:hAnsi="Times New Roman" w:eastAsia="方正仿宋简体" w:cs="Times New Roman"/>
          <w:b/>
          <w:bCs w:val="0"/>
          <w:color w:val="auto"/>
          <w:sz w:val="32"/>
          <w:szCs w:val="32"/>
        </w:rPr>
        <w:t>习近平总书记指出“公立医院是我国医疗服务体系的主体，要不断提高服务能力和运行效率”“持续巩固、加强、壮大公立医院，推动公立医院高质量发展”。</w:t>
      </w:r>
      <w:r>
        <w:rPr>
          <w:rFonts w:hint="default" w:ascii="Times New Roman" w:hAnsi="Times New Roman" w:eastAsia="方正仿宋简体" w:cs="Times New Roman"/>
          <w:b/>
          <w:bCs w:val="0"/>
          <w:color w:val="auto"/>
          <w:kern w:val="0"/>
          <w:sz w:val="32"/>
          <w:szCs w:val="32"/>
          <w:lang w:val="en-US" w:eastAsia="zh-CN" w:bidi="ar"/>
        </w:rPr>
        <w:t>随着成都市人口增加</w:t>
      </w:r>
      <w:r>
        <w:rPr>
          <w:rFonts w:hint="default" w:ascii="Times New Roman" w:hAnsi="Times New Roman" w:eastAsia="方正仿宋简体" w:cs="Times New Roman"/>
          <w:b/>
          <w:bCs w:val="0"/>
          <w:color w:val="auto"/>
          <w:sz w:val="32"/>
          <w:szCs w:val="32"/>
        </w:rPr>
        <w:t>，</w:t>
      </w:r>
      <w:r>
        <w:rPr>
          <w:rFonts w:hint="default" w:ascii="Times New Roman" w:hAnsi="Times New Roman" w:eastAsia="方正仿宋简体" w:cs="Times New Roman"/>
          <w:b/>
          <w:bCs w:val="0"/>
          <w:color w:val="auto"/>
          <w:kern w:val="2"/>
          <w:sz w:val="32"/>
          <w:szCs w:val="32"/>
          <w:lang w:val="en-US" w:eastAsia="zh-CN" w:bidi="ar-SA"/>
        </w:rPr>
        <w:t>以公立医院为基础的医疗服务供给不平衡不充分的问题愈发突出。</w:t>
      </w:r>
      <w:r>
        <w:rPr>
          <w:rFonts w:hint="default" w:ascii="Times New Roman" w:hAnsi="Times New Roman" w:eastAsia="方正仿宋简体" w:cs="Times New Roman"/>
          <w:b/>
          <w:bCs w:val="0"/>
          <w:color w:val="auto"/>
          <w:kern w:val="0"/>
          <w:sz w:val="32"/>
          <w:szCs w:val="32"/>
          <w:lang w:val="en-US" w:eastAsia="zh-CN" w:bidi="ar"/>
        </w:rPr>
        <w:t>为促进</w:t>
      </w:r>
      <w:r>
        <w:rPr>
          <w:rFonts w:hint="default" w:ascii="Times New Roman" w:hAnsi="Times New Roman" w:eastAsia="方正仿宋简体" w:cs="Times New Roman"/>
          <w:b/>
          <w:bCs w:val="0"/>
          <w:color w:val="auto"/>
          <w:sz w:val="32"/>
          <w:szCs w:val="32"/>
        </w:rPr>
        <w:t>市级公立医院发展与市民对高品质医疗服务的需求相适应</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与成都城市发展定位相匹配</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lang w:val="en-US" w:eastAsia="zh-CN"/>
        </w:rPr>
        <w:t>成都</w:t>
      </w:r>
      <w:r>
        <w:rPr>
          <w:rFonts w:hint="default" w:ascii="Times New Roman" w:hAnsi="Times New Roman" w:eastAsia="方正仿宋简体" w:cs="Times New Roman"/>
          <w:b/>
          <w:bCs w:val="0"/>
          <w:color w:val="auto"/>
          <w:sz w:val="32"/>
          <w:szCs w:val="32"/>
        </w:rPr>
        <w:t>市人大常委会把推动市级公立医院高质量发展作为落实总书记重要要求、推动健康成都建设、增进民生福祉的重要举措，综合运用多种方式，持续用力、久久为功，督促推动市级公立医院加快高质量发展。</w:t>
      </w:r>
    </w:p>
    <w:p w14:paraId="5B9E56F4">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p>
    <w:p w14:paraId="2DF7AC0A">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6A96079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val="en-US" w:eastAsia="zh-CN"/>
        </w:rPr>
        <w:t>成都</w:t>
      </w:r>
      <w:r>
        <w:rPr>
          <w:rFonts w:hint="default" w:ascii="Times New Roman" w:hAnsi="Times New Roman" w:eastAsia="方正仿宋简体" w:cs="Times New Roman"/>
          <w:b/>
          <w:bCs w:val="0"/>
          <w:color w:val="auto"/>
          <w:sz w:val="32"/>
          <w:szCs w:val="32"/>
        </w:rPr>
        <w:t>市人大常委会坚定践行以人民为中心的发展思想，对推动市级公立医院高质量发展进行系统谋划、持续监督推动，充分发挥人大代表作用，有力推动了市级公立医院高质量发展</w:t>
      </w:r>
      <w:r>
        <w:rPr>
          <w:rFonts w:hint="default" w:ascii="Times New Roman" w:hAnsi="Times New Roman" w:eastAsia="方正仿宋简体" w:cs="Times New Roman"/>
          <w:b/>
          <w:bCs w:val="0"/>
          <w:color w:val="auto"/>
          <w:sz w:val="32"/>
          <w:szCs w:val="32"/>
          <w:lang w:eastAsia="zh-CN"/>
        </w:rPr>
        <w:t>。</w:t>
      </w:r>
    </w:p>
    <w:p w14:paraId="508A7BD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eastAsia="zh-CN"/>
        </w:rPr>
        <w:t>（</w:t>
      </w:r>
      <w:r>
        <w:rPr>
          <w:rFonts w:hint="default" w:ascii="Times New Roman" w:hAnsi="Times New Roman" w:eastAsia="方正楷体简体" w:cs="Times New Roman"/>
          <w:b/>
          <w:bCs w:val="0"/>
          <w:color w:val="auto"/>
          <w:sz w:val="32"/>
          <w:szCs w:val="32"/>
          <w:lang w:val="en-US" w:eastAsia="zh-CN"/>
        </w:rPr>
        <w:t>一）以民生福祉为根本，助推专项政策先行</w:t>
      </w:r>
    </w:p>
    <w:p w14:paraId="6916156C">
      <w:pPr>
        <w:pStyle w:val="17"/>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成都</w:t>
      </w:r>
      <w:r>
        <w:rPr>
          <w:rFonts w:hint="default" w:ascii="Times New Roman" w:hAnsi="Times New Roman" w:eastAsia="方正仿宋简体" w:cs="Times New Roman"/>
          <w:b/>
          <w:bCs w:val="0"/>
          <w:color w:val="auto"/>
          <w:sz w:val="32"/>
          <w:szCs w:val="32"/>
        </w:rPr>
        <w:t>市</w:t>
      </w:r>
      <w:r>
        <w:rPr>
          <w:rFonts w:hint="default" w:ascii="Times New Roman" w:hAnsi="Times New Roman" w:eastAsia="方正仿宋简体" w:cs="Times New Roman"/>
          <w:b/>
          <w:bCs w:val="0"/>
          <w:color w:val="auto"/>
          <w:sz w:val="32"/>
          <w:szCs w:val="32"/>
          <w:lang w:val="en-US" w:eastAsia="zh-CN"/>
        </w:rPr>
        <w:t>人大</w:t>
      </w:r>
      <w:r>
        <w:rPr>
          <w:rFonts w:hint="default" w:ascii="Times New Roman" w:hAnsi="Times New Roman" w:eastAsia="方正仿宋简体" w:cs="Times New Roman"/>
          <w:b/>
          <w:bCs w:val="0"/>
          <w:color w:val="auto"/>
          <w:sz w:val="32"/>
          <w:szCs w:val="32"/>
        </w:rPr>
        <w:t>常委会高度重视，</w:t>
      </w:r>
      <w:r>
        <w:rPr>
          <w:rFonts w:hint="default" w:ascii="Times New Roman" w:hAnsi="Times New Roman" w:eastAsia="方正仿宋简体" w:cs="Times New Roman"/>
          <w:b/>
          <w:bCs w:val="0"/>
          <w:color w:val="auto"/>
          <w:sz w:val="32"/>
          <w:szCs w:val="32"/>
          <w:lang w:eastAsia="zh-CN"/>
        </w:rPr>
        <w:t>以增进民生福祉为出发点和落脚点，</w:t>
      </w:r>
      <w:r>
        <w:rPr>
          <w:rFonts w:hint="default" w:ascii="Times New Roman" w:hAnsi="Times New Roman" w:eastAsia="方正仿宋简体" w:cs="Times New Roman"/>
          <w:b/>
          <w:bCs w:val="0"/>
          <w:color w:val="auto"/>
          <w:sz w:val="32"/>
          <w:szCs w:val="32"/>
        </w:rPr>
        <w:t>聚焦群众反映强烈的医疗卫生问题，</w:t>
      </w:r>
      <w:r>
        <w:rPr>
          <w:rFonts w:hint="default" w:ascii="Times New Roman" w:hAnsi="Times New Roman" w:eastAsia="方正仿宋简体" w:cs="Times New Roman"/>
          <w:b/>
          <w:bCs w:val="0"/>
          <w:color w:val="auto"/>
          <w:sz w:val="32"/>
          <w:szCs w:val="32"/>
          <w:lang w:val="en-US" w:eastAsia="zh-CN"/>
        </w:rPr>
        <w:t>坚持连续三届把</w:t>
      </w:r>
      <w:r>
        <w:rPr>
          <w:rFonts w:hint="default" w:ascii="Times New Roman" w:hAnsi="Times New Roman" w:eastAsia="方正仿宋简体" w:cs="Times New Roman"/>
          <w:b/>
          <w:bCs w:val="0"/>
          <w:color w:val="auto"/>
          <w:sz w:val="32"/>
          <w:szCs w:val="32"/>
        </w:rPr>
        <w:t>市级公立医院高质量发展</w:t>
      </w:r>
      <w:r>
        <w:rPr>
          <w:rFonts w:hint="default" w:ascii="Times New Roman" w:hAnsi="Times New Roman" w:eastAsia="方正仿宋简体" w:cs="Times New Roman"/>
          <w:b/>
          <w:bCs w:val="0"/>
          <w:color w:val="auto"/>
          <w:sz w:val="32"/>
          <w:szCs w:val="32"/>
          <w:lang w:val="en-US" w:eastAsia="zh-CN"/>
        </w:rPr>
        <w:t>作为常委会“一号工程”，</w:t>
      </w:r>
      <w:r>
        <w:rPr>
          <w:rFonts w:hint="default" w:ascii="Times New Roman" w:hAnsi="Times New Roman" w:eastAsia="方正仿宋简体" w:cs="Times New Roman"/>
          <w:b/>
          <w:bCs w:val="0"/>
          <w:color w:val="auto"/>
          <w:sz w:val="32"/>
          <w:szCs w:val="32"/>
        </w:rPr>
        <w:t>连续五年听取审议专项工作报告，连续七年先后</w:t>
      </w:r>
      <w:r>
        <w:rPr>
          <w:rFonts w:hint="default" w:ascii="Times New Roman" w:hAnsi="Times New Roman" w:eastAsia="方正仿宋简体" w:cs="Times New Roman"/>
          <w:b/>
          <w:bCs w:val="0"/>
          <w:color w:val="auto"/>
          <w:sz w:val="32"/>
          <w:szCs w:val="32"/>
          <w:lang w:eastAsia="zh-CN"/>
        </w:rPr>
        <w:t>开展</w:t>
      </w:r>
      <w:r>
        <w:rPr>
          <w:rFonts w:hint="default" w:ascii="Times New Roman" w:hAnsi="Times New Roman" w:eastAsia="方正仿宋简体" w:cs="Times New Roman"/>
          <w:b/>
          <w:bCs w:val="0"/>
          <w:color w:val="auto"/>
          <w:sz w:val="32"/>
          <w:szCs w:val="32"/>
          <w:lang w:val="en-US" w:eastAsia="zh-CN"/>
        </w:rPr>
        <w:t>十</w:t>
      </w:r>
      <w:r>
        <w:rPr>
          <w:rFonts w:hint="default" w:ascii="Times New Roman" w:hAnsi="Times New Roman" w:eastAsia="方正仿宋简体" w:cs="Times New Roman"/>
          <w:b/>
          <w:bCs w:val="0"/>
          <w:color w:val="auto"/>
          <w:sz w:val="32"/>
          <w:szCs w:val="32"/>
        </w:rPr>
        <w:t>余次专题调研</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形成多篇调研报告供市委市政府决策参考，有效推动市级公立医院高质量发展重点项目纳入“成都市幸福美好生活十大工程”。推动</w:t>
      </w:r>
      <w:r>
        <w:rPr>
          <w:rFonts w:hint="default" w:ascii="Times New Roman" w:hAnsi="Times New Roman" w:eastAsia="方正仿宋简体" w:cs="Times New Roman"/>
          <w:b/>
          <w:bCs w:val="0"/>
          <w:color w:val="auto"/>
          <w:sz w:val="32"/>
          <w:szCs w:val="32"/>
          <w:lang w:eastAsia="zh-CN"/>
        </w:rPr>
        <w:t>市政府出台</w:t>
      </w:r>
      <w:r>
        <w:rPr>
          <w:rFonts w:hint="default" w:ascii="Times New Roman" w:hAnsi="Times New Roman" w:eastAsia="方正仿宋简体" w:cs="Times New Roman"/>
          <w:b/>
          <w:bCs w:val="0"/>
          <w:color w:val="auto"/>
          <w:sz w:val="32"/>
          <w:szCs w:val="32"/>
        </w:rPr>
        <w:t>《成都市医疗卫生服务体系（区域卫生）规划（2021—2030年）》《成都市“十四五”医疗机构设置规划》《成都市推动公立医院高质量发展实施方案》《市级公立医院高质量发展“七个一”发展目标工作方案》《成都市市级公立医院综合改革政府投入政策实施方案（试行）》等</w:t>
      </w:r>
      <w:r>
        <w:rPr>
          <w:rFonts w:hint="default" w:ascii="Times New Roman" w:hAnsi="Times New Roman" w:eastAsia="方正仿宋简体" w:cs="Times New Roman"/>
          <w:b/>
          <w:bCs w:val="0"/>
          <w:color w:val="auto"/>
          <w:sz w:val="32"/>
          <w:szCs w:val="32"/>
          <w:lang w:val="en-US" w:eastAsia="zh-CN"/>
        </w:rPr>
        <w:t>出台，</w:t>
      </w:r>
      <w:r>
        <w:rPr>
          <w:rFonts w:hint="default" w:ascii="Times New Roman" w:hAnsi="Times New Roman" w:eastAsia="方正仿宋简体" w:cs="Times New Roman"/>
          <w:b/>
          <w:bCs w:val="0"/>
          <w:color w:val="auto"/>
          <w:sz w:val="32"/>
          <w:szCs w:val="32"/>
        </w:rPr>
        <w:t>市级公立医院</w:t>
      </w:r>
      <w:r>
        <w:rPr>
          <w:rFonts w:hint="default" w:ascii="Times New Roman" w:hAnsi="Times New Roman" w:eastAsia="方正仿宋简体" w:cs="Times New Roman"/>
          <w:b/>
          <w:bCs w:val="0"/>
          <w:color w:val="auto"/>
          <w:sz w:val="32"/>
          <w:szCs w:val="32"/>
          <w:lang w:eastAsia="zh-CN"/>
        </w:rPr>
        <w:t>发展获得一系列新政策支撑</w:t>
      </w:r>
      <w:r>
        <w:rPr>
          <w:rFonts w:hint="default" w:ascii="Times New Roman" w:hAnsi="Times New Roman" w:eastAsia="方正仿宋简体" w:cs="Times New Roman"/>
          <w:b/>
          <w:bCs w:val="0"/>
          <w:color w:val="auto"/>
          <w:sz w:val="32"/>
          <w:szCs w:val="32"/>
        </w:rPr>
        <w:t>。</w:t>
      </w:r>
    </w:p>
    <w:p w14:paraId="42EA3FF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（二）以“三会”监督为推手，助力整体实力跃升</w:t>
      </w:r>
    </w:p>
    <w:p w14:paraId="68C4F906">
      <w:pPr>
        <w:pStyle w:val="17"/>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人代会上，将政府工作报告中公立医院建设发展情况作为重点审议内容，围绕</w:t>
      </w:r>
      <w:r>
        <w:rPr>
          <w:rFonts w:hint="default" w:ascii="Times New Roman" w:hAnsi="Times New Roman" w:eastAsia="方正仿宋简体" w:cs="Times New Roman"/>
          <w:b/>
          <w:bCs w:val="0"/>
          <w:color w:val="auto"/>
          <w:sz w:val="32"/>
          <w:szCs w:val="32"/>
          <w:lang w:eastAsia="zh-CN"/>
        </w:rPr>
        <w:t>市级</w:t>
      </w:r>
      <w:r>
        <w:rPr>
          <w:rFonts w:hint="default" w:ascii="Times New Roman" w:hAnsi="Times New Roman" w:eastAsia="方正仿宋简体" w:cs="Times New Roman"/>
          <w:b/>
          <w:bCs w:val="0"/>
          <w:color w:val="auto"/>
          <w:sz w:val="32"/>
          <w:szCs w:val="32"/>
        </w:rPr>
        <w:t>公立医院高质量发展重点项目建设情况提出意见建议交市政府及有关部门研究办理。常委会</w:t>
      </w:r>
      <w:r>
        <w:rPr>
          <w:rFonts w:hint="default" w:ascii="Times New Roman" w:hAnsi="Times New Roman" w:eastAsia="方正仿宋简体" w:cs="Times New Roman"/>
          <w:b/>
          <w:bCs w:val="0"/>
          <w:color w:val="auto"/>
          <w:sz w:val="32"/>
          <w:szCs w:val="32"/>
          <w:lang w:eastAsia="zh-CN"/>
        </w:rPr>
        <w:t>上，</w:t>
      </w:r>
      <w:r>
        <w:rPr>
          <w:rFonts w:hint="default" w:ascii="Times New Roman" w:hAnsi="Times New Roman" w:eastAsia="方正仿宋简体" w:cs="Times New Roman"/>
          <w:b/>
          <w:bCs w:val="0"/>
          <w:color w:val="auto"/>
          <w:sz w:val="32"/>
          <w:szCs w:val="32"/>
        </w:rPr>
        <w:t>围绕公立医院配套建设工作开展专题询问并进行满意度测评，提出强化政府办医职责、科学规划合理布局、加大项目落实力度等整改意见，形成专题询问意见书明确整改时限。主任会议</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围绕常委会听取审议市政府关于市属公立医院建设运行管理、医联体建设、基础设施和学（专）科建设等5个专项工作报告，研究提出科学构建公共医疗卫生服务体系、营造支持公立医院高质量发展政策环境、推动“一院多区”建设等23条审议意见，跟踪督办审议意见落实情况。</w:t>
      </w:r>
      <w:r>
        <w:rPr>
          <w:rFonts w:hint="default" w:ascii="Times New Roman" w:hAnsi="Times New Roman" w:eastAsia="方正仿宋简体" w:cs="Times New Roman"/>
          <w:b/>
          <w:bCs w:val="0"/>
          <w:color w:val="auto"/>
          <w:sz w:val="32"/>
          <w:szCs w:val="32"/>
          <w:lang w:eastAsia="zh-CN"/>
        </w:rPr>
        <w:t>通过人大</w:t>
      </w:r>
      <w:r>
        <w:rPr>
          <w:rFonts w:hint="default" w:ascii="Times New Roman" w:hAnsi="Times New Roman" w:eastAsia="方正仿宋简体" w:cs="Times New Roman"/>
          <w:b/>
          <w:bCs w:val="0"/>
          <w:color w:val="auto"/>
          <w:kern w:val="2"/>
          <w:sz w:val="32"/>
          <w:szCs w:val="32"/>
          <w:lang w:val="en-US" w:eastAsia="zh-CN" w:bidi="ar-SA"/>
        </w:rPr>
        <w:t>有效监督，</w:t>
      </w:r>
      <w:r>
        <w:rPr>
          <w:rFonts w:hint="default" w:ascii="Times New Roman" w:hAnsi="Times New Roman" w:eastAsia="方正仿宋简体" w:cs="Times New Roman"/>
          <w:b/>
          <w:bCs w:val="0"/>
          <w:color w:val="auto"/>
          <w:sz w:val="32"/>
          <w:szCs w:val="32"/>
          <w:lang w:eastAsia="zh-CN"/>
        </w:rPr>
        <w:t>成都</w:t>
      </w:r>
      <w:r>
        <w:rPr>
          <w:rFonts w:hint="default" w:ascii="Times New Roman" w:hAnsi="Times New Roman" w:eastAsia="方正仿宋简体" w:cs="Times New Roman"/>
          <w:b/>
          <w:bCs w:val="0"/>
          <w:color w:val="auto"/>
          <w:sz w:val="32"/>
          <w:szCs w:val="32"/>
        </w:rPr>
        <w:t>市级公立医院整体实力取得新跃升</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11家市级公立医院建筑面积达到161.11万平方米、开放床位1.89万张</w:t>
      </w:r>
      <w:r>
        <w:rPr>
          <w:rFonts w:hint="default" w:ascii="Times New Roman" w:hAnsi="Times New Roman" w:eastAsia="方正仿宋简体" w:cs="Times New Roman"/>
          <w:b/>
          <w:bCs w:val="0"/>
          <w:color w:val="auto"/>
          <w:sz w:val="32"/>
          <w:szCs w:val="32"/>
          <w:lang w:eastAsia="zh-CN"/>
        </w:rPr>
        <w:t>、配备百</w:t>
      </w:r>
      <w:r>
        <w:rPr>
          <w:rFonts w:hint="default" w:ascii="Times New Roman" w:hAnsi="Times New Roman" w:eastAsia="方正仿宋简体" w:cs="Times New Roman"/>
          <w:b/>
          <w:bCs w:val="0"/>
          <w:color w:val="auto"/>
          <w:sz w:val="32"/>
          <w:szCs w:val="32"/>
        </w:rPr>
        <w:t>万以上医疗设备885台</w:t>
      </w:r>
      <w:r>
        <w:rPr>
          <w:rFonts w:hint="default" w:ascii="Times New Roman" w:hAnsi="Times New Roman" w:eastAsia="方正仿宋简体" w:cs="Times New Roman"/>
          <w:b/>
          <w:bCs w:val="0"/>
          <w:color w:val="auto"/>
          <w:sz w:val="32"/>
          <w:szCs w:val="32"/>
          <w:lang w:eastAsia="zh-CN"/>
        </w:rPr>
        <w:t>；拥有</w:t>
      </w:r>
      <w:r>
        <w:rPr>
          <w:rFonts w:hint="default" w:ascii="Times New Roman" w:hAnsi="Times New Roman" w:eastAsia="方正仿宋简体" w:cs="Times New Roman"/>
          <w:b/>
          <w:bCs w:val="0"/>
          <w:color w:val="auto"/>
          <w:sz w:val="32"/>
          <w:szCs w:val="32"/>
        </w:rPr>
        <w:t>卫生技术人员17762人、高级职称3064人</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省部级及以上专家42人、市（厅）级专家人才222人</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获得65项国家级、239项省级科研课题立项，获省科技进步奖9项</w:t>
      </w:r>
      <w:r>
        <w:rPr>
          <w:rFonts w:hint="default" w:ascii="Times New Roman" w:hAnsi="Times New Roman" w:eastAsia="方正仿宋简体" w:cs="Times New Roman"/>
          <w:b/>
          <w:bCs w:val="0"/>
          <w:color w:val="auto"/>
          <w:sz w:val="32"/>
          <w:szCs w:val="32"/>
          <w:lang w:eastAsia="zh-CN"/>
        </w:rPr>
        <w:t>，设有</w:t>
      </w:r>
      <w:r>
        <w:rPr>
          <w:rFonts w:hint="default" w:ascii="Times New Roman" w:hAnsi="Times New Roman" w:eastAsia="方正仿宋简体" w:cs="Times New Roman"/>
          <w:b/>
          <w:bCs w:val="0"/>
          <w:color w:val="auto"/>
          <w:sz w:val="32"/>
          <w:szCs w:val="32"/>
        </w:rPr>
        <w:t>6个国家级、15个省级、33个市</w:t>
      </w:r>
      <w:r>
        <w:rPr>
          <w:rFonts w:hint="default" w:ascii="Times New Roman" w:hAnsi="Times New Roman" w:eastAsia="方正仿宋简体" w:cs="Times New Roman"/>
          <w:b/>
          <w:bCs w:val="0"/>
          <w:color w:val="auto"/>
          <w:sz w:val="32"/>
          <w:szCs w:val="32"/>
          <w:lang w:eastAsia="zh-CN"/>
        </w:rPr>
        <w:t>级</w:t>
      </w:r>
      <w:r>
        <w:rPr>
          <w:rFonts w:hint="default" w:ascii="Times New Roman" w:hAnsi="Times New Roman" w:eastAsia="方正仿宋简体" w:cs="Times New Roman"/>
          <w:b/>
          <w:bCs w:val="0"/>
          <w:color w:val="auto"/>
          <w:sz w:val="32"/>
          <w:szCs w:val="32"/>
        </w:rPr>
        <w:t>临床重点专科</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8个国家临床研究分中心、6个院士工作站，11个药物临床试验基地（GCP）</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市二医院皮肤科、市三医院心血管内科入选国家级临床重点专科项目，实现市级公立医院西医类“零”的突破。</w:t>
      </w:r>
    </w:p>
    <w:p w14:paraId="7B115B4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（三）以重点难点为抓手，增强资金项目保障</w:t>
      </w:r>
    </w:p>
    <w:p w14:paraId="15966DF1">
      <w:pPr>
        <w:keepLines w:val="0"/>
        <w:pageBreakBefore w:val="0"/>
        <w:kinsoku/>
        <w:wordWrap/>
        <w:topLinePunct w:val="0"/>
        <w:autoSpaceDE/>
        <w:autoSpaceDN/>
        <w:bidi w:val="0"/>
        <w:spacing w:line="560" w:lineRule="exact"/>
        <w:ind w:firstLine="643" w:firstLineChars="200"/>
        <w:rPr>
          <w:rFonts w:hint="default" w:ascii="Times New Roman" w:hAnsi="Times New Roman"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rPr>
        <w:t>围绕财政投入不足、项目支撑不够等问题，</w:t>
      </w:r>
      <w:r>
        <w:rPr>
          <w:rFonts w:hint="default" w:ascii="Times New Roman" w:hAnsi="Times New Roman" w:eastAsia="方正仿宋简体" w:cs="Times New Roman"/>
          <w:b/>
          <w:bCs w:val="0"/>
          <w:color w:val="auto"/>
          <w:sz w:val="32"/>
          <w:szCs w:val="32"/>
          <w:lang w:val="en-US" w:eastAsia="zh-CN"/>
        </w:rPr>
        <w:t>成都</w:t>
      </w:r>
      <w:r>
        <w:rPr>
          <w:rFonts w:hint="default" w:ascii="Times New Roman" w:hAnsi="Times New Roman" w:eastAsia="方正仿宋简体" w:cs="Times New Roman"/>
          <w:b/>
          <w:bCs w:val="0"/>
          <w:color w:val="auto"/>
          <w:sz w:val="32"/>
          <w:szCs w:val="32"/>
        </w:rPr>
        <w:t>市</w:t>
      </w:r>
      <w:r>
        <w:rPr>
          <w:rFonts w:hint="default" w:ascii="Times New Roman" w:hAnsi="Times New Roman" w:eastAsia="方正仿宋简体" w:cs="Times New Roman"/>
          <w:b/>
          <w:bCs w:val="0"/>
          <w:color w:val="auto"/>
          <w:sz w:val="32"/>
          <w:szCs w:val="32"/>
          <w:lang w:val="en-US" w:eastAsia="zh-CN"/>
        </w:rPr>
        <w:t>人大</w:t>
      </w:r>
      <w:r>
        <w:rPr>
          <w:rFonts w:hint="default" w:ascii="Times New Roman" w:hAnsi="Times New Roman" w:eastAsia="方正仿宋简体" w:cs="Times New Roman"/>
          <w:b/>
          <w:bCs w:val="0"/>
          <w:color w:val="auto"/>
          <w:sz w:val="32"/>
          <w:szCs w:val="32"/>
        </w:rPr>
        <w:t>常委会</w:t>
      </w:r>
      <w:r>
        <w:rPr>
          <w:rFonts w:hint="default" w:ascii="Times New Roman" w:hAnsi="Times New Roman" w:eastAsia="方正仿宋简体" w:cs="Times New Roman"/>
          <w:b/>
          <w:bCs w:val="0"/>
          <w:color w:val="auto"/>
          <w:sz w:val="32"/>
          <w:szCs w:val="32"/>
          <w:lang w:eastAsia="zh-CN"/>
        </w:rPr>
        <w:t>坚持问题导向、对症下药，</w:t>
      </w:r>
      <w:r>
        <w:rPr>
          <w:rFonts w:hint="default" w:ascii="Times New Roman" w:hAnsi="Times New Roman" w:eastAsia="方正仿宋简体" w:cs="Times New Roman"/>
          <w:b/>
          <w:bCs w:val="0"/>
          <w:color w:val="auto"/>
          <w:sz w:val="32"/>
          <w:szCs w:val="32"/>
        </w:rPr>
        <w:t>全力推动解决重点</w:t>
      </w:r>
      <w:r>
        <w:rPr>
          <w:rFonts w:hint="default" w:ascii="Times New Roman" w:hAnsi="Times New Roman" w:eastAsia="方正仿宋简体" w:cs="Times New Roman"/>
          <w:b/>
          <w:bCs w:val="0"/>
          <w:color w:val="auto"/>
          <w:sz w:val="32"/>
          <w:szCs w:val="32"/>
          <w:lang w:eastAsia="zh-CN"/>
        </w:rPr>
        <w:t>难点</w:t>
      </w:r>
      <w:r>
        <w:rPr>
          <w:rFonts w:hint="default" w:ascii="Times New Roman" w:hAnsi="Times New Roman" w:eastAsia="方正仿宋简体" w:cs="Times New Roman"/>
          <w:b/>
          <w:bCs w:val="0"/>
          <w:color w:val="auto"/>
          <w:sz w:val="32"/>
          <w:szCs w:val="32"/>
        </w:rPr>
        <w:t>问题。推动建立财政资金长效保障机制，常态化开展预算联网审查，对市级公立医院专项资金预算编制、绩效目标、执行情况进行穿透式监督，确保财政投入稳步增长</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近五年市级公立医院财政累计投入112.15亿元，2022年财政投入资金较2018年增长328%。要求市政府将医疗卫生公共服务规划执行情况纳入国民经济社会发展计划报告，每年向代表大会报告，紧盯公立医院项目规划建设，推动医疗设施建成投用，对应建未建和不能如期竣工交付使用的项目</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要求市政府列出清单说明情况</w:t>
      </w:r>
      <w:r>
        <w:rPr>
          <w:rFonts w:hint="default" w:ascii="Times New Roman" w:hAnsi="Times New Roman" w:eastAsia="方正仿宋简体" w:cs="Times New Roman"/>
          <w:b/>
          <w:bCs w:val="0"/>
          <w:color w:val="auto"/>
          <w:sz w:val="32"/>
          <w:szCs w:val="32"/>
          <w:lang w:eastAsia="zh-CN"/>
        </w:rPr>
        <w:t>及</w:t>
      </w:r>
      <w:r>
        <w:rPr>
          <w:rFonts w:hint="default" w:ascii="Times New Roman" w:hAnsi="Times New Roman" w:eastAsia="方正仿宋简体" w:cs="Times New Roman"/>
          <w:b/>
          <w:bCs w:val="0"/>
          <w:color w:val="auto"/>
          <w:sz w:val="32"/>
          <w:szCs w:val="32"/>
        </w:rPr>
        <w:t>推进落实</w:t>
      </w:r>
      <w:r>
        <w:rPr>
          <w:rFonts w:hint="default" w:ascii="Times New Roman" w:hAnsi="Times New Roman" w:eastAsia="方正仿宋简体" w:cs="Times New Roman"/>
          <w:b/>
          <w:bCs w:val="0"/>
          <w:color w:val="auto"/>
          <w:sz w:val="32"/>
          <w:szCs w:val="32"/>
          <w:lang w:eastAsia="zh-CN"/>
        </w:rPr>
        <w:t>措施，推动</w:t>
      </w:r>
      <w:r>
        <w:rPr>
          <w:rFonts w:hint="default" w:ascii="Times New Roman" w:hAnsi="Times New Roman" w:eastAsia="方正仿宋简体" w:cs="Times New Roman"/>
          <w:b/>
          <w:bCs w:val="0"/>
          <w:color w:val="auto"/>
          <w:sz w:val="32"/>
          <w:szCs w:val="32"/>
        </w:rPr>
        <w:t>市级公立医院“一院多区”建设项目有序推进，市二医院龙潭院区、市四医院九江院区工程等23个改扩建项目建成。</w:t>
      </w:r>
    </w:p>
    <w:p w14:paraId="22D6B9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（四）以“两个联系”为纽带，发挥人大代表作用</w:t>
      </w:r>
    </w:p>
    <w:p w14:paraId="1490CACC">
      <w:pPr>
        <w:keepLines w:val="0"/>
        <w:pageBreakBefore w:val="0"/>
        <w:kinsoku/>
        <w:wordWrap/>
        <w:topLinePunct w:val="0"/>
        <w:autoSpaceDE/>
        <w:autoSpaceDN/>
        <w:bidi w:val="0"/>
        <w:spacing w:line="560" w:lineRule="exact"/>
        <w:ind w:firstLine="643" w:firstLineChars="200"/>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val="en-US" w:eastAsia="zh-CN"/>
        </w:rPr>
        <w:t>发挥常委会组成人员联系代表的示范作用，组织常委会组成人员、机关驻会代表</w:t>
      </w:r>
      <w:r>
        <w:rPr>
          <w:rFonts w:hint="default" w:ascii="Times New Roman" w:hAnsi="Times New Roman" w:eastAsia="方正仿宋简体" w:cs="Times New Roman"/>
          <w:b/>
          <w:bCs w:val="0"/>
          <w:color w:val="auto"/>
          <w:sz w:val="32"/>
          <w:szCs w:val="32"/>
        </w:rPr>
        <w:t>走访联系市人大代表、深入基层听取意见，围绕影响、制约市级公立医院发展的问题开展调查研究，形成《关于加强我市公立医院基础设施和学（专）科建设的调研报告》《关于进一步推动市级公立医院高质量发展的报告》等4篇专项报告，提出具体建议20条，多次得到时任市委主要领导肯定性批示。</w:t>
      </w:r>
      <w:r>
        <w:rPr>
          <w:rFonts w:hint="default" w:ascii="Times New Roman" w:hAnsi="Times New Roman" w:eastAsia="方正仿宋简体" w:cs="Times New Roman"/>
          <w:b/>
          <w:bCs w:val="0"/>
          <w:color w:val="auto"/>
          <w:sz w:val="32"/>
          <w:szCs w:val="32"/>
          <w:lang w:eastAsia="zh-CN"/>
        </w:rPr>
        <w:t>发挥代表密切联系群众的桥梁作用，倡导市人大代表主动进“家”入“站”，</w:t>
      </w:r>
      <w:r>
        <w:rPr>
          <w:rFonts w:hint="default" w:ascii="Times New Roman" w:hAnsi="Times New Roman" w:eastAsia="方正仿宋简体" w:cs="Times New Roman"/>
          <w:b/>
          <w:bCs w:val="0"/>
          <w:color w:val="auto"/>
          <w:sz w:val="32"/>
          <w:szCs w:val="32"/>
          <w:lang w:val="en-US" w:eastAsia="zh-CN"/>
        </w:rPr>
        <w:t>听民声、汇民意、问民计，</w:t>
      </w:r>
      <w:r>
        <w:rPr>
          <w:rFonts w:hint="default" w:ascii="Times New Roman" w:hAnsi="Times New Roman" w:eastAsia="方正仿宋简体" w:cs="Times New Roman"/>
          <w:b/>
          <w:bCs w:val="0"/>
          <w:color w:val="auto"/>
          <w:sz w:val="32"/>
          <w:szCs w:val="32"/>
          <w:lang w:eastAsia="zh-CN"/>
        </w:rPr>
        <w:t>参与常委会执法检查、专题视察、调研等活动，充分发挥专业代表的作用，</w:t>
      </w:r>
      <w:r>
        <w:rPr>
          <w:rFonts w:hint="default" w:ascii="Times New Roman" w:hAnsi="Times New Roman" w:eastAsia="方正仿宋简体" w:cs="Times New Roman"/>
          <w:b/>
          <w:bCs w:val="0"/>
          <w:color w:val="auto"/>
          <w:sz w:val="32"/>
          <w:szCs w:val="32"/>
        </w:rPr>
        <w:t>围绕市级公立医院高质量发展，提出《关于对成都市医疗护理服务质量提升开展工作监督的议案》《关于加强成都市公立医院管理的建议》等3件议案和33件建议</w:t>
      </w:r>
      <w:r>
        <w:rPr>
          <w:rFonts w:hint="default" w:ascii="Times New Roman" w:hAnsi="Times New Roman" w:eastAsia="方正仿宋简体" w:cs="Times New Roman"/>
          <w:b/>
          <w:bCs w:val="0"/>
          <w:color w:val="auto"/>
          <w:sz w:val="32"/>
          <w:szCs w:val="32"/>
          <w:lang w:eastAsia="zh-CN"/>
        </w:rPr>
        <w:t>。推动</w:t>
      </w:r>
      <w:r>
        <w:rPr>
          <w:rFonts w:hint="default" w:ascii="Times New Roman" w:hAnsi="Times New Roman" w:eastAsia="方正仿宋简体" w:cs="Times New Roman"/>
          <w:b/>
          <w:bCs w:val="0"/>
          <w:color w:val="auto"/>
          <w:sz w:val="32"/>
          <w:szCs w:val="32"/>
        </w:rPr>
        <w:t>11家市级公立医院开设分时段预约诊疗</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10家市级公立医院开通互联网医院，开启医生“远程式接诊”和患者“非接触式就医”新模式</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在全国率先试点推进智慧医疗就医场景“一卡通”，患者就医更加便捷</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诊疗服务效能实现新提高。</w:t>
      </w:r>
    </w:p>
    <w:p w14:paraId="77B6701E">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方正仿宋简体" w:cs="Times New Roman"/>
          <w:b/>
          <w:bCs w:val="0"/>
          <w:color w:val="auto"/>
          <w:kern w:val="2"/>
          <w:sz w:val="32"/>
          <w:szCs w:val="32"/>
          <w:highlight w:val="none"/>
          <w:lang w:val="en-US" w:eastAsia="zh-CN" w:bidi="ar-SA"/>
        </w:rPr>
      </w:pPr>
    </w:p>
    <w:p w14:paraId="08D9E920">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065C9D00">
      <w:pPr>
        <w:keepLines w:val="0"/>
        <w:pageBreakBefore w:val="0"/>
        <w:kinsoku/>
        <w:wordWrap/>
        <w:topLinePunct w:val="0"/>
        <w:autoSpaceDE/>
        <w:autoSpaceDN/>
        <w:bidi w:val="0"/>
        <w:spacing w:line="560" w:lineRule="exact"/>
        <w:ind w:firstLine="643" w:firstLineChars="200"/>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（一）要坚持把“以人民为中心”的理念贯穿人大工作始终。</w:t>
      </w:r>
      <w:r>
        <w:rPr>
          <w:rFonts w:hint="default" w:ascii="Times New Roman" w:hAnsi="Times New Roman" w:eastAsia="方正仿宋简体" w:cs="Times New Roman"/>
          <w:b/>
          <w:bCs w:val="0"/>
          <w:color w:val="auto"/>
          <w:sz w:val="32"/>
          <w:szCs w:val="32"/>
          <w:lang w:val="en-US" w:eastAsia="zh-CN"/>
        </w:rPr>
        <w:t>习近平总书记指出，人民对美好生活的向往，就是我们的奋斗目标。推动</w:t>
      </w:r>
      <w:r>
        <w:rPr>
          <w:rFonts w:hint="default" w:ascii="Times New Roman" w:hAnsi="Times New Roman" w:eastAsia="方正仿宋简体" w:cs="Times New Roman"/>
          <w:b/>
          <w:bCs w:val="0"/>
          <w:color w:val="auto"/>
          <w:sz w:val="32"/>
          <w:szCs w:val="32"/>
        </w:rPr>
        <w:t>市级公立医院高质量发展</w:t>
      </w:r>
      <w:r>
        <w:rPr>
          <w:rFonts w:hint="default" w:ascii="Times New Roman" w:hAnsi="Times New Roman" w:eastAsia="方正仿宋简体" w:cs="Times New Roman"/>
          <w:b/>
          <w:bCs w:val="0"/>
          <w:color w:val="auto"/>
          <w:sz w:val="32"/>
          <w:szCs w:val="32"/>
          <w:lang w:eastAsia="zh-CN"/>
        </w:rPr>
        <w:t>，解决看病难、看病贵的问题，就是在解决人民日益增长的美好生活需要和不平衡不充分的发展之间的矛盾。</w:t>
      </w:r>
      <w:r>
        <w:rPr>
          <w:rFonts w:hint="default" w:ascii="Times New Roman" w:hAnsi="Times New Roman" w:eastAsia="方正仿宋简体" w:cs="Times New Roman"/>
          <w:b/>
          <w:bCs w:val="0"/>
          <w:color w:val="auto"/>
          <w:sz w:val="32"/>
          <w:szCs w:val="32"/>
          <w:lang w:val="en-US" w:eastAsia="zh-CN"/>
        </w:rPr>
        <w:t>做好新时代人大工作，要把实现好、维护好、发展好人民群众的根本利益作为出发点和落脚点，把人民当家作主具体地、现实地落实到国家政治生活和社会生活之中，保证人大工作体现人民意志、保障人民权益、与人民同心同向。</w:t>
      </w:r>
    </w:p>
    <w:p w14:paraId="708A40FC">
      <w:pPr>
        <w:keepLines w:val="0"/>
        <w:pageBreakBefore w:val="0"/>
        <w:kinsoku/>
        <w:wordWrap/>
        <w:topLinePunct w:val="0"/>
        <w:autoSpaceDE/>
        <w:autoSpaceDN/>
        <w:bidi w:val="0"/>
        <w:spacing w:line="560" w:lineRule="exact"/>
        <w:ind w:firstLine="643" w:firstLineChars="200"/>
        <w:rPr>
          <w:rFonts w:hint="default" w:ascii="Times New Roman" w:hAnsi="Times New Roman" w:cs="Times New Roman"/>
          <w:b/>
          <w:bCs w:val="0"/>
          <w:color w:val="auto"/>
          <w:lang w:val="en-US" w:eastAsia="zh-CN"/>
        </w:rPr>
      </w:pPr>
      <w:r>
        <w:rPr>
          <w:rFonts w:hint="default" w:ascii="Times New Roman" w:hAnsi="Times New Roman" w:eastAsia="方正楷体简体" w:cs="Times New Roman"/>
          <w:b/>
          <w:bCs w:val="0"/>
          <w:color w:val="auto"/>
          <w:sz w:val="32"/>
          <w:szCs w:val="32"/>
          <w:lang w:val="en-US" w:eastAsia="zh-CN"/>
        </w:rPr>
        <w:t>（二）要坚持打人大监督“组合拳”推动改革举措落到实处。</w:t>
      </w:r>
      <w:r>
        <w:rPr>
          <w:rFonts w:hint="default" w:ascii="Times New Roman" w:hAnsi="Times New Roman" w:eastAsia="方正仿宋简体" w:cs="Times New Roman"/>
          <w:b/>
          <w:bCs w:val="0"/>
          <w:color w:val="auto"/>
          <w:sz w:val="32"/>
          <w:szCs w:val="32"/>
          <w:lang w:val="en-US" w:eastAsia="zh-CN"/>
        </w:rPr>
        <w:t>人大监督是党和国家监督体系的重要组成部分，是国家权力机关代表人民进行的、具有法律效力的监督，对于促进高质量发展具有不可替代的作用。成都市人大常委会始终坚持围绕中心、服务大局、突出重点，实行正确监督、有效监督、依法监督，不断加强监督工作制度建设。在助推市级公立医院高质量发展的实践中，把听取审议报告、专题询问等多种监督形式有机结合，形成“组合拳”，实现全流程全要素全链条监督，以高质量监督持续助力</w:t>
      </w:r>
      <w:r>
        <w:rPr>
          <w:rFonts w:hint="default" w:ascii="Times New Roman" w:hAnsi="Times New Roman" w:eastAsia="方正仿宋简体" w:cs="Times New Roman"/>
          <w:b/>
          <w:bCs w:val="0"/>
          <w:color w:val="auto"/>
          <w:sz w:val="32"/>
          <w:szCs w:val="32"/>
        </w:rPr>
        <w:t>健康成都建设</w:t>
      </w:r>
      <w:r>
        <w:rPr>
          <w:rFonts w:hint="default" w:ascii="Times New Roman" w:hAnsi="Times New Roman" w:eastAsia="方正仿宋简体" w:cs="Times New Roman"/>
          <w:b/>
          <w:bCs w:val="0"/>
          <w:color w:val="auto"/>
          <w:sz w:val="32"/>
          <w:szCs w:val="32"/>
          <w:lang w:val="en-US" w:eastAsia="zh-CN"/>
        </w:rPr>
        <w:t>、助推全面深化改革。</w:t>
      </w:r>
    </w:p>
    <w:p w14:paraId="45835D6F">
      <w:pPr>
        <w:keepLines w:val="0"/>
        <w:pageBreakBefore w:val="0"/>
        <w:kinsoku/>
        <w:wordWrap/>
        <w:topLinePunct w:val="0"/>
        <w:autoSpaceDE/>
        <w:autoSpaceDN/>
        <w:bidi w:val="0"/>
        <w:spacing w:line="560" w:lineRule="exact"/>
        <w:ind w:firstLine="643" w:firstLineChars="200"/>
        <w:rPr>
          <w:rFonts w:hint="default" w:ascii="Times New Roman" w:hAnsi="Times New Roman" w:eastAsia="方正仿宋_GBK" w:cs="Times New Roman"/>
          <w:b/>
          <w:bCs w:val="0"/>
          <w:color w:val="auto"/>
          <w:sz w:val="32"/>
          <w:szCs w:val="32"/>
          <w:u w:val="none"/>
          <w:lang w:val="en-US" w:eastAsia="zh-CN"/>
        </w:rPr>
      </w:pPr>
      <w:r>
        <w:rPr>
          <w:rFonts w:hint="default" w:ascii="Times New Roman" w:hAnsi="Times New Roman" w:eastAsia="方正楷体简体" w:cs="Times New Roman"/>
          <w:b/>
          <w:bCs w:val="0"/>
          <w:color w:val="auto"/>
          <w:sz w:val="32"/>
          <w:szCs w:val="32"/>
          <w:lang w:val="en-US" w:eastAsia="zh-CN"/>
        </w:rPr>
        <w:t>（三）要坚持用调查研究“传家宝”促进人大工作提质增效。</w:t>
      </w:r>
      <w:r>
        <w:rPr>
          <w:rFonts w:hint="default" w:ascii="Times New Roman" w:hAnsi="Times New Roman" w:eastAsia="方正仿宋简体" w:cs="Times New Roman"/>
          <w:b/>
          <w:bCs w:val="0"/>
          <w:color w:val="auto"/>
          <w:sz w:val="32"/>
          <w:szCs w:val="32"/>
          <w:lang w:val="en-US" w:eastAsia="zh-CN"/>
        </w:rPr>
        <w:t>习近平总书记指出，调查研究是谋事之基、成事之道，没有调查就没有发言权，没有调查就没有决策权。成都市人大常委会始终坚持把调查研究作为党的群众路线在人大工作中的具体落点，坚持问题导向、增强问题意识，围绕公立医院高质量发展的重要问题、围绕医疗卫生领域人民群众普遍关心的热点难点问题，深入开展调查研究，“身入”基层、“心到”基层，真正把情况摸清、把问题找准、把对策提实。</w:t>
      </w:r>
    </w:p>
    <w:p w14:paraId="0502576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（四）要坚持以人大代表为纽带架起政府群众的“连心桥”。</w:t>
      </w:r>
      <w:r>
        <w:rPr>
          <w:rFonts w:hint="default" w:ascii="Times New Roman" w:hAnsi="Times New Roman" w:eastAsia="方正仿宋简体" w:cs="Times New Roman"/>
          <w:b/>
          <w:bCs w:val="0"/>
          <w:color w:val="auto"/>
          <w:sz w:val="32"/>
          <w:szCs w:val="32"/>
          <w:lang w:val="en-US" w:eastAsia="zh-CN"/>
        </w:rPr>
        <w:t>成都市人大常委会始终坚持充分发挥人大代表密切联系人民群众的优势，扩大代表参与人大工作的途径，采取多种方式邀请代表参与执法检查、听取审议专项工作报告、专题调研等活动。在助推市级公立医院高质量发展的实践中，依靠代表深入企业与群众生产生活一线，切实“摸实情”“献良策”“破难题”，鼓励代表当好学习者、宣传者、践行者，架起群众与党委政府之间的“连心桥”，达成共识形成合力，促进市委科学决策、市政府及部门积极行动，共同推动市级公立医院高质量发展。</w:t>
      </w:r>
    </w:p>
    <w:p w14:paraId="6089672F">
      <w:pPr>
        <w:keepLines w:val="0"/>
        <w:pageBreakBefore w:val="0"/>
        <w:shd w:val="clear"/>
        <w:kinsoku/>
        <w:wordWrap/>
        <w:topLinePunct w:val="0"/>
        <w:autoSpaceDE/>
        <w:autoSpaceDN/>
        <w:bidi w:val="0"/>
        <w:rPr>
          <w:rFonts w:hint="default" w:ascii="Times New Roman" w:hAnsi="Times New Roman" w:cs="Times New Roman"/>
          <w:b/>
          <w:bCs w:val="0"/>
          <w:color w:val="auto"/>
          <w:highlight w:val="none"/>
        </w:rPr>
      </w:pPr>
    </w:p>
    <w:p w14:paraId="686E707B">
      <w:pPr>
        <w:keepLines w:val="0"/>
        <w:pageBreakBefore w:val="0"/>
        <w:shd w:val="clear"/>
        <w:kinsoku/>
        <w:wordWrap/>
        <w:topLinePunct w:val="0"/>
        <w:autoSpaceDE/>
        <w:autoSpaceDN/>
        <w:bidi w:val="0"/>
        <w:rPr>
          <w:rFonts w:hint="default" w:ascii="Times New Roman" w:hAnsi="Times New Roman" w:cs="Times New Roman"/>
          <w:b/>
          <w:bCs w:val="0"/>
          <w:color w:val="auto"/>
          <w:highlight w:val="none"/>
        </w:rPr>
      </w:pPr>
      <w:r>
        <w:rPr>
          <w:rFonts w:hint="default" w:ascii="Times New Roman" w:hAnsi="Times New Roman" w:cs="Times New Roman"/>
          <w:b/>
          <w:bCs w:val="0"/>
          <w:color w:val="auto"/>
          <w:highlight w:val="none"/>
        </w:rPr>
        <w:br w:type="page"/>
      </w:r>
    </w:p>
    <w:p w14:paraId="68F06897">
      <w:pPr>
        <w:keepLines w:val="0"/>
        <w:pageBreakBefore w:val="0"/>
        <w:widowControl/>
        <w:shd w:val="clear"/>
        <w:kinsoku/>
        <w:wordWrap/>
        <w:topLinePunct w:val="0"/>
        <w:autoSpaceDE/>
        <w:autoSpaceDN/>
        <w:bidi w:val="0"/>
        <w:spacing w:line="580" w:lineRule="exact"/>
        <w:ind w:firstLine="422" w:firstLineChars="200"/>
        <w:jc w:val="left"/>
        <w:rPr>
          <w:rFonts w:hint="default" w:ascii="Times New Roman" w:hAnsi="Times New Roman" w:cs="Times New Roman"/>
          <w:b/>
          <w:bCs w:val="0"/>
          <w:color w:val="auto"/>
          <w:highlight w:val="none"/>
        </w:rPr>
      </w:pPr>
    </w:p>
    <w:p w14:paraId="4A00C55F">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2" w:name="_Toc16172"/>
      <w:r>
        <w:rPr>
          <w:rFonts w:hint="default" w:ascii="Times New Roman" w:hAnsi="Times New Roman" w:eastAsia="方正小标宋简体" w:cs="Times New Roman"/>
          <w:b/>
          <w:bCs w:val="0"/>
          <w:color w:val="auto"/>
          <w:highlight w:val="none"/>
          <w:lang w:val="en-US" w:eastAsia="zh-CN"/>
        </w:rPr>
        <w:t>法治聚力  擦亮“中国灯城”名片</w:t>
      </w:r>
      <w:bookmarkEnd w:id="2"/>
    </w:p>
    <w:p w14:paraId="1AB9DAE1">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楷体简体" w:cs="Times New Roman"/>
          <w:b/>
          <w:bCs w:val="0"/>
          <w:color w:val="auto"/>
          <w:kern w:val="2"/>
          <w:sz w:val="32"/>
          <w:szCs w:val="32"/>
          <w:highlight w:val="none"/>
          <w:lang w:val="en-US" w:eastAsia="zh-CN" w:bidi="ar-SA"/>
        </w:rPr>
      </w:pPr>
      <w:r>
        <w:rPr>
          <w:rFonts w:hint="default" w:ascii="Times New Roman" w:hAnsi="Times New Roman" w:eastAsia="方正楷体简体" w:cs="Times New Roman"/>
          <w:b/>
          <w:bCs w:val="0"/>
          <w:color w:val="auto"/>
          <w:kern w:val="2"/>
          <w:sz w:val="32"/>
          <w:szCs w:val="32"/>
          <w:highlight w:val="none"/>
          <w:lang w:val="en-US" w:eastAsia="zh-CN" w:bidi="ar-SA"/>
        </w:rPr>
        <w:t>——自贡彩灯文化保护立法工作实践与启示</w:t>
      </w:r>
    </w:p>
    <w:p w14:paraId="4A9427D6">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楷体简体" w:cs="Times New Roman"/>
          <w:b/>
          <w:bCs w:val="0"/>
          <w:color w:val="auto"/>
          <w:kern w:val="2"/>
          <w:sz w:val="32"/>
          <w:szCs w:val="32"/>
          <w:highlight w:val="none"/>
          <w:lang w:val="en-US" w:eastAsia="zh-CN" w:bidi="ar-SA"/>
        </w:rPr>
      </w:pPr>
      <w:r>
        <w:rPr>
          <w:rFonts w:hint="default" w:ascii="Times New Roman" w:hAnsi="Times New Roman" w:eastAsia="方正楷体简体" w:cs="Times New Roman"/>
          <w:b/>
          <w:bCs w:val="0"/>
          <w:color w:val="auto"/>
          <w:kern w:val="2"/>
          <w:sz w:val="32"/>
          <w:szCs w:val="32"/>
          <w:highlight w:val="none"/>
          <w:lang w:val="en-US" w:eastAsia="zh-CN" w:bidi="ar-SA"/>
        </w:rPr>
        <w:t>自贡市人大常委会</w:t>
      </w:r>
    </w:p>
    <w:p w14:paraId="73924841">
      <w:pPr>
        <w:keepNext w:val="0"/>
        <w:keepLines w:val="0"/>
        <w:pageBreakBefore w:val="0"/>
        <w:widowControl/>
        <w:shd w:val="clear"/>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微软雅黑" w:cs="Times New Roman"/>
          <w:b/>
          <w:bCs w:val="0"/>
          <w:color w:val="auto"/>
          <w:sz w:val="32"/>
          <w:szCs w:val="32"/>
          <w:highlight w:val="none"/>
          <w:lang w:eastAsia="zh-CN"/>
        </w:rPr>
      </w:pPr>
    </w:p>
    <w:p w14:paraId="58F5E619">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5F92FA11">
      <w:pPr>
        <w:keepLines w:val="0"/>
        <w:pageBreakBefore w:val="0"/>
        <w:widowControl/>
        <w:kinsoku/>
        <w:wordWrap/>
        <w:topLinePunct w:val="0"/>
        <w:autoSpaceDE/>
        <w:autoSpaceDN/>
        <w:bidi w:val="0"/>
        <w:spacing w:line="580" w:lineRule="exact"/>
        <w:ind w:firstLine="643" w:firstLineChars="200"/>
        <w:jc w:val="left"/>
        <w:rPr>
          <w:rFonts w:hint="default" w:ascii="Times New Roman" w:hAnsi="Times New Roman" w:eastAsia="方正仿宋简体" w:cs="Times New Roman"/>
          <w:b/>
          <w:bCs w:val="0"/>
          <w:color w:val="auto"/>
          <w:spacing w:val="0"/>
          <w:sz w:val="32"/>
          <w:szCs w:val="32"/>
          <w:lang w:val="en-US" w:eastAsia="zh-CN"/>
        </w:rPr>
      </w:pPr>
      <w:r>
        <w:rPr>
          <w:rFonts w:hint="default" w:ascii="Times New Roman" w:hAnsi="Times New Roman" w:eastAsia="方正仿宋简体" w:cs="Times New Roman"/>
          <w:b/>
          <w:bCs w:val="0"/>
          <w:color w:val="auto"/>
          <w:spacing w:val="0"/>
          <w:sz w:val="32"/>
          <w:szCs w:val="32"/>
          <w:lang w:val="en-US" w:eastAsia="zh-CN"/>
        </w:rPr>
        <w:t>彩灯是自贡城市名片之一，是南国灯城的主要标志。2018年，自贡因极具特色的彩灯和仿真恐龙优势，被命名为全国首批、川渝唯一的国家文化出口基地。2021年10月，中共中央、国务院《成渝地区双城经济圈建设规划纲要》提出“扩大自贡彩灯等国际旅游品牌影响力”“支持川剧、彩灯等中国文化走出去”，将自贡彩灯纳入成渝经济圈国家发展战略支持的范围。2023年，国家发展改革委等部门《关于支持四川省自贡市建设新时代深化改革扩大开放城市的实施意见》明确“高水平建设国家对外文化贸易基地”“将自贡彩灯纳入国家级对外文化交流活动内容”。彩灯文化立法作为自贡“盐、龙、灯、美食”四张城市名片系统性立法的重要组成部分，是独具地方特色的立法项目，对彩灯文化保护传承和彩灯产业发展具有十分重要的意义。</w:t>
      </w:r>
    </w:p>
    <w:p w14:paraId="51F3A807">
      <w:pPr>
        <w:keepNext w:val="0"/>
        <w:keepLines w:val="0"/>
        <w:pageBreakBefore w:val="0"/>
        <w:shd w:val="clear"/>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val="0"/>
          <w:color w:val="auto"/>
          <w:spacing w:val="0"/>
          <w:kern w:val="44"/>
          <w:sz w:val="32"/>
          <w:szCs w:val="44"/>
          <w:highlight w:val="none"/>
          <w:lang w:val="en-US" w:eastAsia="zh-CN"/>
        </w:rPr>
      </w:pPr>
    </w:p>
    <w:p w14:paraId="07204003">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2BE47965">
      <w:pPr>
        <w:keepLines w:val="0"/>
        <w:pageBreakBefore w:val="0"/>
        <w:widowControl/>
        <w:kinsoku/>
        <w:wordWrap/>
        <w:topLinePunct w:val="0"/>
        <w:autoSpaceDE/>
        <w:autoSpaceDN/>
        <w:bidi w:val="0"/>
        <w:spacing w:line="580" w:lineRule="exact"/>
        <w:ind w:firstLine="643" w:firstLineChars="200"/>
        <w:jc w:val="left"/>
        <w:rPr>
          <w:rFonts w:hint="default" w:ascii="Times New Roman" w:hAnsi="Times New Roman" w:eastAsia="方正仿宋简体" w:cs="Times New Roman"/>
          <w:b/>
          <w:bCs w:val="0"/>
          <w:color w:val="auto"/>
          <w:spacing w:val="0"/>
          <w:sz w:val="32"/>
          <w:szCs w:val="32"/>
          <w:lang w:val="en-US" w:eastAsia="zh-CN"/>
        </w:rPr>
      </w:pPr>
      <w:r>
        <w:rPr>
          <w:rFonts w:hint="default" w:ascii="Times New Roman" w:hAnsi="Times New Roman" w:eastAsia="方正楷体简体" w:cs="Times New Roman"/>
          <w:b/>
          <w:bCs w:val="0"/>
          <w:color w:val="auto"/>
          <w:sz w:val="32"/>
          <w:szCs w:val="32"/>
          <w:lang w:val="en-US" w:eastAsia="zh-CN"/>
        </w:rPr>
        <w:t>（一）坚持人大主导，推进立法进程。</w:t>
      </w:r>
      <w:r>
        <w:rPr>
          <w:rFonts w:hint="default" w:ascii="Times New Roman" w:hAnsi="Times New Roman" w:eastAsia="方正仿宋简体" w:cs="Times New Roman"/>
          <w:b/>
          <w:bCs w:val="0"/>
          <w:color w:val="auto"/>
          <w:spacing w:val="0"/>
          <w:sz w:val="32"/>
          <w:szCs w:val="32"/>
          <w:lang w:val="en-US" w:eastAsia="zh-CN"/>
        </w:rPr>
        <w:t>自贡人大在法规立项、起草、审议等环节充分发挥主导作用，提高立法工作质效。在2022年充分开展彩灯产业化集群化发展课题研究基础上，将彩灯文化保护纳入立法计划。启动立法后，相关委员会迅速与起草部门和单位沟通，制定立法进度安排表，确定立法步骤，落实责任分工。2023年2月，组织相关起草部门和单位外出考察学习地方特色文化立法经验。积极组织和指导起草部门开展立法调研、条例起草、审稿、听证、论证等工作，</w:t>
      </w:r>
      <w:r>
        <w:rPr>
          <w:rFonts w:hint="default" w:ascii="Times New Roman" w:hAnsi="Times New Roman" w:eastAsia="方正仿宋简体" w:cs="Times New Roman"/>
          <w:b/>
          <w:bCs w:val="0"/>
          <w:color w:val="auto"/>
          <w:spacing w:val="0"/>
          <w:sz w:val="32"/>
          <w:szCs w:val="32"/>
        </w:rPr>
        <w:t>及时协调解决起草过程中遇到的困难和问题</w:t>
      </w:r>
      <w:r>
        <w:rPr>
          <w:rFonts w:hint="default" w:ascii="Times New Roman" w:hAnsi="Times New Roman" w:eastAsia="方正仿宋简体" w:cs="Times New Roman"/>
          <w:b/>
          <w:bCs w:val="0"/>
          <w:color w:val="auto"/>
          <w:spacing w:val="0"/>
          <w:sz w:val="32"/>
          <w:szCs w:val="32"/>
          <w:lang w:eastAsia="zh-CN"/>
        </w:rPr>
        <w:t>。</w:t>
      </w:r>
      <w:r>
        <w:rPr>
          <w:rFonts w:hint="default" w:ascii="Times New Roman" w:hAnsi="Times New Roman" w:eastAsia="方正仿宋简体" w:cs="Times New Roman"/>
          <w:b/>
          <w:bCs w:val="0"/>
          <w:color w:val="auto"/>
          <w:spacing w:val="0"/>
          <w:sz w:val="32"/>
          <w:szCs w:val="32"/>
          <w:lang w:val="en-US" w:eastAsia="zh-CN"/>
        </w:rPr>
        <w:t>多次召开立法工作推进会，保证立法进度要求。</w:t>
      </w:r>
      <w:r>
        <w:rPr>
          <w:rFonts w:hint="default" w:ascii="Times New Roman" w:hAnsi="Times New Roman" w:eastAsia="方正仿宋简体" w:cs="Times New Roman"/>
          <w:b/>
          <w:bCs w:val="0"/>
          <w:color w:val="auto"/>
          <w:spacing w:val="0"/>
          <w:sz w:val="32"/>
          <w:szCs w:val="32"/>
          <w:lang w:eastAsia="zh-CN"/>
        </w:rPr>
        <w:t>最终，条例通过三审，于</w:t>
      </w:r>
      <w:r>
        <w:rPr>
          <w:rFonts w:hint="default" w:ascii="Times New Roman" w:hAnsi="Times New Roman" w:eastAsia="方正仿宋简体" w:cs="Times New Roman"/>
          <w:b/>
          <w:bCs w:val="0"/>
          <w:color w:val="auto"/>
          <w:spacing w:val="0"/>
          <w:sz w:val="32"/>
          <w:szCs w:val="32"/>
          <w:lang w:val="en-US" w:eastAsia="zh-CN"/>
        </w:rPr>
        <w:t>2024年7月获省人大常委会批准。</w:t>
      </w:r>
    </w:p>
    <w:p w14:paraId="084D8C1A">
      <w:pPr>
        <w:keepLines w:val="0"/>
        <w:pageBreakBefore w:val="0"/>
        <w:widowControl/>
        <w:kinsoku/>
        <w:wordWrap/>
        <w:topLinePunct w:val="0"/>
        <w:autoSpaceDE/>
        <w:autoSpaceDN/>
        <w:bidi w:val="0"/>
        <w:spacing w:line="580" w:lineRule="exact"/>
        <w:ind w:firstLine="643" w:firstLineChars="200"/>
        <w:jc w:val="left"/>
        <w:rPr>
          <w:rFonts w:hint="default" w:ascii="Times New Roman" w:hAnsi="Times New Roman" w:cs="Times New Roman" w:eastAsiaTheme="minorEastAsia"/>
          <w:b/>
          <w:bCs w:val="0"/>
          <w:color w:val="auto"/>
          <w:spacing w:val="0"/>
          <w:sz w:val="32"/>
          <w:szCs w:val="32"/>
          <w:lang w:val="en-US" w:eastAsia="zh-CN"/>
        </w:rPr>
      </w:pPr>
      <w:r>
        <w:rPr>
          <w:rFonts w:hint="default" w:ascii="Times New Roman" w:hAnsi="Times New Roman" w:eastAsia="方正楷体简体" w:cs="Times New Roman"/>
          <w:b/>
          <w:bCs w:val="0"/>
          <w:color w:val="auto"/>
          <w:sz w:val="32"/>
          <w:szCs w:val="32"/>
          <w:lang w:val="en-US" w:eastAsia="zh-CN"/>
        </w:rPr>
        <w:t>（二）坚持问题导向，把握立法重点。</w:t>
      </w:r>
      <w:r>
        <w:rPr>
          <w:rFonts w:hint="default" w:ascii="Times New Roman" w:hAnsi="Times New Roman" w:eastAsia="方正仿宋简体" w:cs="Times New Roman"/>
          <w:b/>
          <w:bCs w:val="0"/>
          <w:color w:val="auto"/>
          <w:spacing w:val="0"/>
          <w:sz w:val="32"/>
          <w:szCs w:val="32"/>
          <w:lang w:val="en-US" w:eastAsia="zh-CN"/>
        </w:rPr>
        <w:t>通过市人大相关委室、起草部门和单位围绕彩灯文化保护深入开展的立法调研，进一步梳理了需要并可以通过立法解决的主要问题，如：彩灯文化的概念没有一个科学的界定，缺乏彩灯文化保护发展议事协调机制，文化遗产保护的经费保障不足，未建立彩灯文化保护名录，文物保护责任落实不到位，代表性传承人认定及其权利义务落实不到位，彩灯行业标准缺乏，行业组织作用发挥不力等。对这些问题的深入分析，使立法重点更加明确，提高了立法的针对性、有效性。</w:t>
      </w:r>
    </w:p>
    <w:p w14:paraId="482D2A43">
      <w:pPr>
        <w:keepLines w:val="0"/>
        <w:pageBreakBefore w:val="0"/>
        <w:widowControl/>
        <w:kinsoku/>
        <w:wordWrap/>
        <w:topLinePunct w:val="0"/>
        <w:autoSpaceDE/>
        <w:autoSpaceDN/>
        <w:bidi w:val="0"/>
        <w:spacing w:line="580" w:lineRule="exact"/>
        <w:ind w:firstLine="643" w:firstLineChars="200"/>
        <w:jc w:val="left"/>
        <w:rPr>
          <w:rFonts w:hint="default" w:ascii="Times New Roman" w:hAnsi="Times New Roman" w:eastAsia="方正仿宋简体" w:cs="Times New Roman"/>
          <w:b/>
          <w:bCs w:val="0"/>
          <w:color w:val="auto"/>
          <w:spacing w:val="0"/>
          <w:sz w:val="32"/>
          <w:szCs w:val="32"/>
          <w:lang w:val="en-US" w:eastAsia="zh-CN"/>
        </w:rPr>
      </w:pPr>
      <w:r>
        <w:rPr>
          <w:rFonts w:hint="default" w:ascii="Times New Roman" w:hAnsi="Times New Roman" w:eastAsia="方正楷体简体" w:cs="Times New Roman"/>
          <w:b/>
          <w:bCs w:val="0"/>
          <w:color w:val="auto"/>
          <w:sz w:val="32"/>
          <w:szCs w:val="32"/>
          <w:lang w:val="en-US" w:eastAsia="zh-CN"/>
        </w:rPr>
        <w:t>（三）坚持开门立法，提高立法质量。</w:t>
      </w:r>
      <w:r>
        <w:rPr>
          <w:rFonts w:hint="default" w:ascii="Times New Roman" w:hAnsi="Times New Roman" w:eastAsia="方正仿宋简体" w:cs="Times New Roman"/>
          <w:b/>
          <w:bCs w:val="0"/>
          <w:color w:val="auto"/>
          <w:spacing w:val="0"/>
          <w:sz w:val="32"/>
          <w:szCs w:val="32"/>
          <w:lang w:val="en-US" w:eastAsia="zh-CN"/>
        </w:rPr>
        <w:t>彩灯立法从启动到完成，历时近三年，先后三次赴省内外学习地方特色文化保护立法工作经验。在条例起草阶段，广泛征求意见，共邀请相关部门、区县政府、行业组织、专家学者等召开专题调研和座谈会19次，书面征求区县人民政府（含高新区）、市级部门意见，共收集立法相关意见建议308条，采纳247条。在条例听证和论证阶段，收集立法相关意见建议134条，采纳105条。在条例起草和审议过程中，还得到了省人大教科文卫委、法制委、法工委的指导和帮助，广泛而全面的调研和征求意见为立法质量提供了保证。</w:t>
      </w:r>
    </w:p>
    <w:p w14:paraId="3FFB7AED">
      <w:pPr>
        <w:keepLines w:val="0"/>
        <w:pageBreakBefore w:val="0"/>
        <w:widowControl/>
        <w:kinsoku/>
        <w:wordWrap/>
        <w:topLinePunct w:val="0"/>
        <w:autoSpaceDE/>
        <w:autoSpaceDN/>
        <w:bidi w:val="0"/>
        <w:spacing w:line="580" w:lineRule="exact"/>
        <w:ind w:firstLine="643" w:firstLineChars="200"/>
        <w:jc w:val="left"/>
        <w:rPr>
          <w:rFonts w:hint="default" w:ascii="Times New Roman" w:hAnsi="Times New Roman" w:cs="Times New Roman"/>
          <w:b/>
          <w:bCs w:val="0"/>
          <w:color w:val="auto"/>
          <w:lang w:val="en-US" w:eastAsia="zh-CN"/>
        </w:rPr>
      </w:pPr>
      <w:r>
        <w:rPr>
          <w:rFonts w:hint="default" w:ascii="Times New Roman" w:hAnsi="Times New Roman" w:eastAsia="方正楷体简体" w:cs="Times New Roman"/>
          <w:b/>
          <w:bCs w:val="0"/>
          <w:color w:val="auto"/>
          <w:sz w:val="32"/>
          <w:szCs w:val="32"/>
          <w:lang w:val="en-US" w:eastAsia="zh-CN"/>
        </w:rPr>
        <w:t>（四）坚持融入实践，助推行业发展。</w:t>
      </w:r>
      <w:r>
        <w:rPr>
          <w:rFonts w:hint="default" w:ascii="Times New Roman" w:hAnsi="Times New Roman" w:eastAsia="方正仿宋简体" w:cs="Times New Roman"/>
          <w:b/>
          <w:bCs w:val="0"/>
          <w:color w:val="auto"/>
          <w:spacing w:val="0"/>
          <w:sz w:val="32"/>
          <w:szCs w:val="32"/>
          <w:lang w:val="en-US" w:eastAsia="zh-CN"/>
        </w:rPr>
        <w:t>通过彩灯文化保护立法过程中的反馈、沟通和督促，市委市政府建立了文化旅游产业发展领导小组、文化创意产业发展领导小组等议事协调机构，彩灯商会、行业协会作用得到进一步发挥，行业自律得以加强；文化主管部门着手开展彩灯文化资源普查，并依托本项立法建立多领域的专家人才库；中国彩灯博物馆实现免费开放。在彩灯立法和相关举措的促进下，彩灯产业得到快速发展，2023年，在全国132个城市地区开展彩灯项目212个，同比增长24.7%；在全球19个国家71个城市举办境外灯展项目90个，实现文化出口5061.33万美元，同比增长14.87%。</w:t>
      </w:r>
    </w:p>
    <w:p w14:paraId="4B5BF646">
      <w:pPr>
        <w:keepNext w:val="0"/>
        <w:keepLines w:val="0"/>
        <w:pageBreakBefore w:val="0"/>
        <w:shd w:val="clear"/>
        <w:kinsoku/>
        <w:wordWrap/>
        <w:overflowPunct w:val="0"/>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val="0"/>
          <w:color w:val="auto"/>
          <w:spacing w:val="0"/>
          <w:kern w:val="44"/>
          <w:sz w:val="32"/>
          <w:szCs w:val="44"/>
          <w:highlight w:val="none"/>
          <w:lang w:val="en-US" w:eastAsia="zh-CN"/>
        </w:rPr>
      </w:pPr>
    </w:p>
    <w:p w14:paraId="29874CC3">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4862FB44">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val="0"/>
          <w:color w:val="auto"/>
          <w:spacing w:val="0"/>
          <w:sz w:val="32"/>
          <w:szCs w:val="32"/>
          <w:lang w:val="en-US" w:eastAsia="zh-CN"/>
        </w:rPr>
      </w:pPr>
      <w:r>
        <w:rPr>
          <w:rFonts w:hint="default" w:ascii="Times New Roman" w:hAnsi="Times New Roman" w:eastAsia="方正楷体简体" w:cs="Times New Roman"/>
          <w:b/>
          <w:bCs w:val="0"/>
          <w:color w:val="auto"/>
          <w:spacing w:val="0"/>
          <w:sz w:val="32"/>
          <w:szCs w:val="32"/>
          <w:lang w:val="en-US" w:eastAsia="zh-CN"/>
        </w:rPr>
        <w:t>（一）系统立法是构建地方法规体系的重要方式。</w:t>
      </w:r>
      <w:r>
        <w:rPr>
          <w:rFonts w:hint="default" w:ascii="Times New Roman" w:hAnsi="Times New Roman" w:eastAsia="方正仿宋简体" w:cs="Times New Roman"/>
          <w:b/>
          <w:bCs w:val="0"/>
          <w:color w:val="auto"/>
          <w:spacing w:val="0"/>
          <w:sz w:val="32"/>
          <w:szCs w:val="32"/>
          <w:lang w:val="en-US" w:eastAsia="zh-CN"/>
        </w:rPr>
        <w:t>结合经济社会发展迫切需要，系统分析地方法规体系构建，提出了“保护与发展兼顾、以立法促城市转型升级”的立法思路，围绕地方立法四个方面的内容进行系统梳理，制订中长期立法规划，先后完成1部程序法、11部实体法。特别是围绕国家级历史文化名城保护和“盐、龙、灯、美食”四张名片开展立法，先后制定出台《自贡历史文化名城保护条例》《自贡市井盐历史文化保护条例》《自贡市恐龙地质遗迹保护条例》《自贡市彩灯文化保护条例》，再加上正在制定过程中的自贡市盐帮菜传承与发展条例，将基本构建起以名城保护为主线，“盐、龙、灯、食”四大地域特色文化保护为延展的“1+4”历史文化保护地方法规体系，提升了地方立法的系统性，也体现了自贡人大以法守护自贡精神文化家园、赓续盐都文化血脉的探索实践。</w:t>
      </w:r>
    </w:p>
    <w:p w14:paraId="26600EF0">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val="0"/>
          <w:color w:val="auto"/>
          <w:spacing w:val="0"/>
          <w:sz w:val="32"/>
          <w:szCs w:val="32"/>
          <w:lang w:val="en-US" w:eastAsia="zh-CN"/>
        </w:rPr>
      </w:pPr>
      <w:r>
        <w:rPr>
          <w:rFonts w:hint="default" w:ascii="Times New Roman" w:hAnsi="Times New Roman" w:eastAsia="方正楷体简体" w:cs="Times New Roman"/>
          <w:b/>
          <w:bCs w:val="0"/>
          <w:color w:val="auto"/>
          <w:spacing w:val="0"/>
          <w:sz w:val="32"/>
          <w:szCs w:val="32"/>
          <w:lang w:val="en-US" w:eastAsia="zh-CN"/>
        </w:rPr>
        <w:t>（二）打破桎梏是提高地方立法质量的重要方法。</w:t>
      </w:r>
      <w:r>
        <w:rPr>
          <w:rFonts w:hint="default" w:ascii="Times New Roman" w:hAnsi="Times New Roman" w:eastAsia="方正仿宋简体" w:cs="Times New Roman"/>
          <w:b/>
          <w:bCs w:val="0"/>
          <w:color w:val="auto"/>
          <w:spacing w:val="0"/>
          <w:sz w:val="32"/>
          <w:szCs w:val="32"/>
          <w:lang w:val="en-US" w:eastAsia="zh-CN"/>
        </w:rPr>
        <w:t>在立法的过程中，立法调研、起草、论证参与人员相对比较固定，法规草案基本形成以后，对条例结构、内容的认知容易固化，不利于条例的后续修改完善。因此，在立法过程中，所有立法人员都应保持开放的思维，善于吸收意见建议，勇于突破法规草案现有的结构和内容。条例草案在起草环节历经了三次较大的结构调整，最终形成了一审时的基本框架结构。</w:t>
      </w:r>
      <w:r>
        <w:rPr>
          <w:rFonts w:hint="default" w:ascii="Times New Roman" w:hAnsi="Times New Roman" w:eastAsia="方正仿宋简体" w:cs="Times New Roman"/>
          <w:b/>
          <w:bCs w:val="0"/>
          <w:color w:val="auto"/>
          <w:spacing w:val="0"/>
          <w:sz w:val="32"/>
          <w:szCs w:val="32"/>
          <w:lang w:eastAsia="zh-CN"/>
        </w:rPr>
        <w:t>在</w:t>
      </w:r>
      <w:r>
        <w:rPr>
          <w:rFonts w:hint="default" w:ascii="Times New Roman" w:hAnsi="Times New Roman" w:eastAsia="方正仿宋简体" w:cs="Times New Roman"/>
          <w:b/>
          <w:bCs w:val="0"/>
          <w:color w:val="auto"/>
          <w:spacing w:val="0"/>
          <w:sz w:val="32"/>
          <w:szCs w:val="32"/>
        </w:rPr>
        <w:t>一审到三审</w:t>
      </w:r>
      <w:r>
        <w:rPr>
          <w:rFonts w:hint="default" w:ascii="Times New Roman" w:hAnsi="Times New Roman" w:eastAsia="方正仿宋简体" w:cs="Times New Roman"/>
          <w:b/>
          <w:bCs w:val="0"/>
          <w:color w:val="auto"/>
          <w:spacing w:val="0"/>
          <w:sz w:val="32"/>
          <w:szCs w:val="32"/>
          <w:lang w:eastAsia="zh-CN"/>
        </w:rPr>
        <w:t>过程中</w:t>
      </w:r>
      <w:r>
        <w:rPr>
          <w:rFonts w:hint="default" w:ascii="Times New Roman" w:hAnsi="Times New Roman" w:eastAsia="方正仿宋简体" w:cs="Times New Roman"/>
          <w:b/>
          <w:bCs w:val="0"/>
          <w:color w:val="auto"/>
          <w:spacing w:val="0"/>
          <w:sz w:val="32"/>
          <w:szCs w:val="32"/>
        </w:rPr>
        <w:t>，第三章</w:t>
      </w:r>
      <w:r>
        <w:rPr>
          <w:rFonts w:hint="default" w:ascii="Times New Roman" w:hAnsi="Times New Roman" w:eastAsia="方正仿宋简体" w:cs="Times New Roman"/>
          <w:b/>
          <w:bCs w:val="0"/>
          <w:color w:val="auto"/>
          <w:spacing w:val="0"/>
          <w:sz w:val="32"/>
          <w:szCs w:val="32"/>
          <w:lang w:eastAsia="zh-CN"/>
        </w:rPr>
        <w:t>章名由</w:t>
      </w:r>
      <w:r>
        <w:rPr>
          <w:rFonts w:hint="default" w:ascii="Times New Roman" w:hAnsi="Times New Roman" w:eastAsia="方正仿宋简体" w:cs="Times New Roman"/>
          <w:b/>
          <w:bCs w:val="0"/>
          <w:color w:val="auto"/>
          <w:spacing w:val="0"/>
          <w:sz w:val="32"/>
          <w:szCs w:val="32"/>
        </w:rPr>
        <w:t>“利用与发展</w:t>
      </w:r>
      <w:r>
        <w:rPr>
          <w:rFonts w:hint="default" w:ascii="Times New Roman" w:hAnsi="Times New Roman" w:eastAsia="方正仿宋简体" w:cs="Times New Roman"/>
          <w:b/>
          <w:bCs w:val="0"/>
          <w:color w:val="auto"/>
          <w:spacing w:val="0"/>
          <w:sz w:val="32"/>
          <w:szCs w:val="32"/>
          <w:lang w:eastAsia="zh-CN"/>
        </w:rPr>
        <w:t>”修改为“</w:t>
      </w:r>
      <w:r>
        <w:rPr>
          <w:rFonts w:hint="default" w:ascii="Times New Roman" w:hAnsi="Times New Roman" w:eastAsia="方正仿宋简体" w:cs="Times New Roman"/>
          <w:b/>
          <w:bCs w:val="0"/>
          <w:color w:val="auto"/>
          <w:spacing w:val="0"/>
          <w:sz w:val="32"/>
          <w:szCs w:val="32"/>
          <w:lang w:val="en-US" w:eastAsia="zh-CN"/>
        </w:rPr>
        <w:t>创新与发展”，突出了技术创新、产权保护与品牌建设；保护对象从笼统的“彩灯文化”调整为“彩灯”和“彩灯文化”分别表述，并新填了六款“彩灯文化资源内容”；“传承传播”从宽泛的概念，实现了彩灯传统制作技艺代表人的认定、开展传承传播活动、代表人义务的明确规定。这些内容的大胆创新和修改使该条例的针对性和可操作性明显增强。</w:t>
      </w:r>
    </w:p>
    <w:p w14:paraId="44D5D7D6">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方正仿宋简体" w:cs="Times New Roman"/>
          <w:b/>
          <w:bCs w:val="0"/>
          <w:color w:val="auto"/>
          <w:spacing w:val="0"/>
          <w:sz w:val="32"/>
          <w:szCs w:val="32"/>
          <w:lang w:val="en-US" w:eastAsia="zh-CN"/>
        </w:rPr>
      </w:pPr>
      <w:r>
        <w:rPr>
          <w:rFonts w:hint="default" w:ascii="Times New Roman" w:hAnsi="Times New Roman" w:eastAsia="方正楷体简体" w:cs="Times New Roman"/>
          <w:b/>
          <w:bCs w:val="0"/>
          <w:color w:val="auto"/>
          <w:spacing w:val="0"/>
          <w:sz w:val="32"/>
          <w:szCs w:val="32"/>
          <w:lang w:val="en-US" w:eastAsia="zh-CN"/>
        </w:rPr>
        <w:t>（三）制度设计是推动法规有效实施的重要保障。</w:t>
      </w:r>
      <w:r>
        <w:rPr>
          <w:rFonts w:hint="default" w:ascii="Times New Roman" w:hAnsi="Times New Roman" w:eastAsia="方正仿宋简体" w:cs="Times New Roman"/>
          <w:b/>
          <w:bCs w:val="0"/>
          <w:color w:val="auto"/>
          <w:spacing w:val="0"/>
          <w:sz w:val="32"/>
          <w:szCs w:val="32"/>
          <w:lang w:val="en-US" w:eastAsia="zh-CN"/>
        </w:rPr>
        <w:t>法规的制定要源于实际、便于实施、利于发展，既要有制度框架设计，又不能过于具体，影响实施的灵活性。</w:t>
      </w:r>
      <w:r>
        <w:rPr>
          <w:rFonts w:hint="default" w:ascii="Times New Roman" w:hAnsi="Times New Roman" w:eastAsia="方正仿宋简体" w:cs="Times New Roman"/>
          <w:b/>
          <w:bCs w:val="0"/>
          <w:color w:val="auto"/>
          <w:spacing w:val="0"/>
          <w:sz w:val="32"/>
          <w:szCs w:val="32"/>
        </w:rPr>
        <w:t>《自贡市</w:t>
      </w:r>
      <w:r>
        <w:rPr>
          <w:rFonts w:hint="default" w:ascii="Times New Roman" w:hAnsi="Times New Roman" w:eastAsia="方正仿宋简体" w:cs="Times New Roman"/>
          <w:b/>
          <w:bCs w:val="0"/>
          <w:color w:val="auto"/>
          <w:spacing w:val="0"/>
          <w:sz w:val="32"/>
          <w:szCs w:val="32"/>
          <w:lang w:eastAsia="zh-CN"/>
        </w:rPr>
        <w:t>彩灯文化</w:t>
      </w:r>
      <w:r>
        <w:rPr>
          <w:rFonts w:hint="default" w:ascii="Times New Roman" w:hAnsi="Times New Roman" w:eastAsia="方正仿宋简体" w:cs="Times New Roman"/>
          <w:b/>
          <w:bCs w:val="0"/>
          <w:color w:val="auto"/>
          <w:spacing w:val="0"/>
          <w:sz w:val="32"/>
          <w:szCs w:val="32"/>
        </w:rPr>
        <w:t>保护条例》共就六个方面进行了制度设计，分别是：</w:t>
      </w:r>
      <w:r>
        <w:rPr>
          <w:rFonts w:hint="default" w:ascii="Times New Roman" w:hAnsi="Times New Roman" w:eastAsia="方正仿宋简体" w:cs="Times New Roman"/>
          <w:b/>
          <w:bCs w:val="0"/>
          <w:color w:val="auto"/>
          <w:spacing w:val="0"/>
          <w:sz w:val="32"/>
          <w:szCs w:val="32"/>
          <w:lang w:val="en-US" w:eastAsia="zh-CN"/>
        </w:rPr>
        <w:t>彩灯行业社会组织的职责、彩灯文化资源的类别、彩灯文化保护名录制度、彩灯传统制作技艺代表人制度、常态化举办自贡灯会、促进彩灯产业发展的制度；这些制度涵盖了彩灯文化保护、传承、发展的主要方面，有利于推动彩灯文化保护步入法治化轨道，有利于提高彩灯文化保护与传承水平，是做大做强自贡灯会与彩灯文化产业，促进文旅兴市，彰显彩灯文化魅力的重要保障。</w:t>
      </w:r>
    </w:p>
    <w:p w14:paraId="30F3F76C">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pacing w:val="0"/>
          <w:sz w:val="32"/>
          <w:szCs w:val="32"/>
          <w:highlight w:val="none"/>
          <w:lang w:val="en-US" w:eastAsia="zh-CN"/>
        </w:rPr>
      </w:pPr>
      <w:r>
        <w:rPr>
          <w:rFonts w:hint="default" w:ascii="Times New Roman" w:hAnsi="Times New Roman" w:eastAsia="方正仿宋简体" w:cs="Times New Roman"/>
          <w:b/>
          <w:bCs w:val="0"/>
          <w:color w:val="auto"/>
          <w:spacing w:val="0"/>
          <w:sz w:val="32"/>
          <w:szCs w:val="32"/>
          <w:highlight w:val="none"/>
          <w:lang w:val="en-US" w:eastAsia="zh-CN"/>
        </w:rPr>
        <w:br w:type="page"/>
      </w:r>
    </w:p>
    <w:p w14:paraId="618AA3E2">
      <w:pPr>
        <w:keepLines w:val="0"/>
        <w:pageBreakBefore w:val="0"/>
        <w:widowControl/>
        <w:shd w:val="clear"/>
        <w:kinsoku/>
        <w:wordWrap/>
        <w:topLinePunct w:val="0"/>
        <w:autoSpaceDE/>
        <w:autoSpaceDN/>
        <w:bidi w:val="0"/>
        <w:spacing w:line="580" w:lineRule="exact"/>
        <w:ind w:firstLine="422" w:firstLineChars="200"/>
        <w:jc w:val="left"/>
        <w:rPr>
          <w:rFonts w:hint="default" w:ascii="Times New Roman" w:hAnsi="Times New Roman" w:cs="Times New Roman"/>
          <w:b/>
          <w:bCs w:val="0"/>
          <w:color w:val="auto"/>
          <w:highlight w:val="none"/>
        </w:rPr>
      </w:pPr>
    </w:p>
    <w:p w14:paraId="377E0D62">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3" w:name="_Toc11848"/>
      <w:r>
        <w:rPr>
          <w:rFonts w:hint="default" w:ascii="Times New Roman" w:hAnsi="Times New Roman" w:eastAsia="方正小标宋简体" w:cs="Times New Roman"/>
          <w:b/>
          <w:bCs w:val="0"/>
          <w:color w:val="auto"/>
          <w:highlight w:val="none"/>
          <w:lang w:val="en-US" w:eastAsia="zh-CN"/>
        </w:rPr>
        <w:t>焦民生关切  服务人口战略</w:t>
      </w:r>
      <w:r>
        <w:rPr>
          <w:rFonts w:hint="default" w:ascii="Times New Roman" w:hAnsi="Times New Roman" w:eastAsia="方正小标宋简体" w:cs="Times New Roman"/>
          <w:b/>
          <w:bCs w:val="0"/>
          <w:color w:val="auto"/>
          <w:highlight w:val="none"/>
          <w:lang w:val="en-US" w:eastAsia="zh-CN"/>
        </w:rPr>
        <w:br w:type="textWrapping"/>
      </w:r>
      <w:r>
        <w:rPr>
          <w:rFonts w:hint="default" w:ascii="Times New Roman" w:hAnsi="Times New Roman" w:eastAsia="方正小标宋简体" w:cs="Times New Roman"/>
          <w:b/>
          <w:bCs w:val="0"/>
          <w:color w:val="auto"/>
          <w:highlight w:val="none"/>
          <w:lang w:val="en-US" w:eastAsia="zh-CN"/>
        </w:rPr>
        <w:t>人大助推普惠托育走出“泸州路径”</w:t>
      </w:r>
      <w:bookmarkEnd w:id="3"/>
    </w:p>
    <w:p w14:paraId="2DC75F83">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楷体简体" w:cs="Times New Roman"/>
          <w:b/>
          <w:bCs w:val="0"/>
          <w:color w:val="auto"/>
          <w:kern w:val="2"/>
          <w:sz w:val="32"/>
          <w:szCs w:val="32"/>
          <w:highlight w:val="none"/>
          <w:lang w:val="en-US" w:eastAsia="zh-CN" w:bidi="ar-SA"/>
        </w:rPr>
      </w:pPr>
      <w:r>
        <w:rPr>
          <w:rFonts w:hint="default" w:ascii="Times New Roman" w:hAnsi="Times New Roman" w:eastAsia="方正楷体简体" w:cs="Times New Roman"/>
          <w:b/>
          <w:bCs w:val="0"/>
          <w:color w:val="auto"/>
          <w:kern w:val="2"/>
          <w:sz w:val="32"/>
          <w:szCs w:val="32"/>
          <w:highlight w:val="none"/>
          <w:lang w:val="en-US" w:eastAsia="zh-CN" w:bidi="ar-SA"/>
        </w:rPr>
        <w:t>泸州市人大常委会</w:t>
      </w:r>
    </w:p>
    <w:p w14:paraId="0F077490">
      <w:pPr>
        <w:keepLines w:val="0"/>
        <w:pageBreakBefore w:val="0"/>
        <w:numPr>
          <w:ins w:id="0" w:author="admin" w:date=""/>
        </w:numPr>
        <w:shd w:val="clear"/>
        <w:kinsoku/>
        <w:wordWrap/>
        <w:topLinePunct w:val="0"/>
        <w:autoSpaceDE/>
        <w:autoSpaceDN/>
        <w:bidi w:val="0"/>
        <w:spacing w:line="620" w:lineRule="exact"/>
        <w:rPr>
          <w:rFonts w:hint="default" w:ascii="Times New Roman" w:hAnsi="Times New Roman" w:eastAsia="方正小标宋简体" w:cs="Times New Roman"/>
          <w:b/>
          <w:bCs w:val="0"/>
          <w:color w:val="auto"/>
          <w:sz w:val="44"/>
          <w:szCs w:val="44"/>
          <w:highlight w:val="none"/>
        </w:rPr>
      </w:pPr>
    </w:p>
    <w:p w14:paraId="0CAB838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51285233">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highlight w:val="none"/>
        </w:rPr>
      </w:pPr>
      <w:r>
        <w:rPr>
          <w:rFonts w:hint="default" w:ascii="Times New Roman" w:hAnsi="Times New Roman" w:eastAsia="方正仿宋简体" w:cs="Times New Roman"/>
          <w:b/>
          <w:bCs w:val="0"/>
          <w:color w:val="auto"/>
          <w:sz w:val="32"/>
          <w:szCs w:val="32"/>
          <w:highlight w:val="none"/>
        </w:rPr>
        <w:t>党的二十大报告指出，优化人口发展战略，建立生育支持政策体系，降低生育、养育、教育成本。2021年5月，十三届全国人大常委会副委员长沈跃跃来川莅泸调研时要求：“四川省要探索普惠托育经验”。同年8月，省人大常委会确定泸州、眉山为全省普惠托育试点市。自2021年泸州普惠托育试点工作启动以来，泸州市人大常委会认真贯彻落实中共中央、国务院以及省委省人大常委会的工作要求和决策部署，在市委的坚强领导下，立足人大职能定位，坚持政府主业主导，突出监督导向，寓支持于监督之中，持续保持高度关注、主动作为的工作态势，深度调查研究，探索示范带动，创新工作格局，大力助推试点示范取得显著成效。试点工作写入了泸州市第九次党代会工作报告，列为了全市重点工作。</w:t>
      </w:r>
    </w:p>
    <w:p w14:paraId="56044640">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p>
    <w:p w14:paraId="422D5B56">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6726219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楷体简体" w:cs="Times New Roman"/>
          <w:b/>
          <w:bCs w:val="0"/>
          <w:color w:val="auto"/>
          <w:sz w:val="32"/>
          <w:szCs w:val="32"/>
          <w:lang w:val="en"/>
        </w:rPr>
      </w:pPr>
      <w:r>
        <w:rPr>
          <w:rFonts w:hint="default" w:ascii="Times New Roman" w:hAnsi="Times New Roman" w:eastAsia="方正楷体简体" w:cs="Times New Roman"/>
          <w:b/>
          <w:bCs w:val="0"/>
          <w:color w:val="auto"/>
          <w:sz w:val="32"/>
          <w:szCs w:val="32"/>
        </w:rPr>
        <w:t>（一）深入调研，提出高质量对策建议</w:t>
      </w:r>
    </w:p>
    <w:p w14:paraId="464DDABD">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为了摸清情况，精准发力，扎实推进试点工作，</w:t>
      </w:r>
      <w:r>
        <w:rPr>
          <w:rFonts w:hint="default" w:ascii="Times New Roman" w:hAnsi="Times New Roman" w:eastAsia="方正仿宋简体" w:cs="Times New Roman"/>
          <w:b/>
          <w:bCs w:val="0"/>
          <w:color w:val="auto"/>
          <w:sz w:val="32"/>
          <w:szCs w:val="32"/>
          <w:lang w:val="en"/>
        </w:rPr>
        <w:t>泸州</w:t>
      </w:r>
      <w:r>
        <w:rPr>
          <w:rFonts w:hint="default" w:ascii="Times New Roman" w:hAnsi="Times New Roman" w:eastAsia="方正仿宋简体" w:cs="Times New Roman"/>
          <w:b/>
          <w:bCs w:val="0"/>
          <w:color w:val="auto"/>
          <w:sz w:val="32"/>
          <w:szCs w:val="32"/>
        </w:rPr>
        <w:t>市人大常委会开展了全覆盖多层次高频度的专题调研。2022年，组织开展实地调研14次，会议调研11次，考察调研2次，专题会商52次，工作布置12次，走访了12家托育机构，发放调查问卷1786份，收集各类建议意见102条，形成了《关于泸州市普惠托育试点工作的调研报告》，提出了涵盖5个方面的22条建议，促成市政府制定出台了《泸州市普惠托育试点工作方案》《泸州市人民政府办公室关于进一步加强普惠托育试点工作的通知》。2023年，继续紧盯普惠托育试点运行情况开展专题调研，形成了《关于全市普惠托育试点工作情况的调研报告》，提出了加快推进普惠托育试点工作建议意见17条。2024年，市人大常委会又聚焦普惠托育可持续发展情况，深入全市7个区县和12家托育机构开展了专题调研，并组织13个政府职能部门、16家托育机构园长、14名保育从业人员、7名保育专家和14名家长代表召开了7场座谈会，发放调查问卷2万余份，收集意见建议</w:t>
      </w:r>
      <w:r>
        <w:rPr>
          <w:rFonts w:hint="default" w:ascii="Times New Roman" w:hAnsi="Times New Roman" w:eastAsia="方正仿宋简体" w:cs="Times New Roman"/>
          <w:b/>
          <w:bCs w:val="0"/>
          <w:color w:val="auto"/>
          <w:sz w:val="32"/>
          <w:szCs w:val="32"/>
          <w:lang w:val="en"/>
        </w:rPr>
        <w:t>192</w:t>
      </w:r>
      <w:r>
        <w:rPr>
          <w:rFonts w:hint="default" w:ascii="Times New Roman" w:hAnsi="Times New Roman" w:eastAsia="方正仿宋简体" w:cs="Times New Roman"/>
          <w:b/>
          <w:bCs w:val="0"/>
          <w:color w:val="auto"/>
          <w:sz w:val="32"/>
          <w:szCs w:val="32"/>
        </w:rPr>
        <w:t>条，</w:t>
      </w:r>
      <w:r>
        <w:rPr>
          <w:rFonts w:hint="default" w:ascii="Times New Roman" w:hAnsi="Times New Roman" w:eastAsia="方正仿宋简体" w:cs="Times New Roman"/>
          <w:b/>
          <w:bCs w:val="0"/>
          <w:color w:val="auto"/>
          <w:sz w:val="32"/>
          <w:szCs w:val="32"/>
          <w:lang w:eastAsia="zh-CN"/>
        </w:rPr>
        <w:t>相关调研报告得到了市委主要领导的肯定性签批，</w:t>
      </w:r>
      <w:r>
        <w:rPr>
          <w:rFonts w:hint="default" w:ascii="Times New Roman" w:hAnsi="Times New Roman" w:eastAsia="方正仿宋简体" w:cs="Times New Roman"/>
          <w:b/>
          <w:bCs w:val="0"/>
          <w:color w:val="auto"/>
          <w:sz w:val="32"/>
          <w:szCs w:val="32"/>
        </w:rPr>
        <w:t>为市委决策提供了重要参考。</w:t>
      </w:r>
    </w:p>
    <w:p w14:paraId="6EA7F813">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简体" w:cs="Times New Roman"/>
          <w:b/>
          <w:bCs w:val="0"/>
          <w:color w:val="auto"/>
          <w:sz w:val="32"/>
          <w:szCs w:val="32"/>
          <w:lang w:val="en"/>
        </w:rPr>
      </w:pPr>
      <w:r>
        <w:rPr>
          <w:rFonts w:hint="default" w:ascii="Times New Roman" w:hAnsi="Times New Roman" w:eastAsia="方正仿宋简体" w:cs="Times New Roman"/>
          <w:b/>
          <w:bCs w:val="0"/>
          <w:color w:val="auto"/>
          <w:sz w:val="32"/>
          <w:szCs w:val="32"/>
          <w:lang w:val="en"/>
        </w:rPr>
        <w:t>为进一步贯彻落实</w:t>
      </w:r>
      <w:r>
        <w:rPr>
          <w:rFonts w:hint="default" w:ascii="Times New Roman" w:hAnsi="Times New Roman" w:eastAsia="方正仿宋简体" w:cs="Times New Roman"/>
          <w:b/>
          <w:bCs w:val="0"/>
          <w:color w:val="auto"/>
          <w:sz w:val="32"/>
          <w:szCs w:val="32"/>
        </w:rPr>
        <w:t>党的二十届三中全会</w:t>
      </w:r>
      <w:r>
        <w:rPr>
          <w:rFonts w:hint="default" w:ascii="Times New Roman" w:hAnsi="Times New Roman" w:eastAsia="方正仿宋简体" w:cs="Times New Roman"/>
          <w:b/>
          <w:bCs w:val="0"/>
          <w:color w:val="auto"/>
          <w:sz w:val="32"/>
          <w:szCs w:val="32"/>
          <w:lang w:val="en"/>
        </w:rPr>
        <w:t>关于加强普惠育幼服务体系建设的精神，在充分调研的基础上，市人大常委会推动出台了《泸州市人大常委会关于进一步推进普托育服务体系建设的决定》，既巩固了泸州普惠托育试点的成果，又优化了普惠托育发展机制，更可以从法治层面助力泸州建设成为“全国婴幼儿照护示范城市”，进一步推动泸州普惠托育服务高质量发展，最大限度发挥人口对经济社会发展的能动作用。</w:t>
      </w:r>
    </w:p>
    <w:p w14:paraId="6DC2024A">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rPr>
        <w:t>（二）强化监督，推动高效能试点实践</w:t>
      </w:r>
    </w:p>
    <w:p w14:paraId="7EDE7DC6">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泸州市人大常委会立足人大职能职责，专门成立了工作指导组，组建了工作专班，制定了助推工作方案，以“三大监督”推进普惠托育试点。一是以专题调研为抓手强化监督。持续三年分别围绕试点工作的顶层设计、服务体系的建立健全以及可持续发展情况的评估分析等开展专题调研，推动市政府及有关部门明确工作目标、细化工作任务、落实工作责任、形成工作合力，确保试点工作高位推进。二是以集中视察为抓手强化监督。围绕试点工作的推进过程开展集中视察，紧盯试点过程中探索的重点、推进的堵点和突破的难点进行把脉会诊，督促市政府及有关部门加强对试点工作的过程调控，整合资源、增添举措、优化流程、抓好落实，确保试点工作推进有力、落实有序。三是以听取报告为抓手强化监督。市人大常委会将听取和审议市政府《关于全市普惠托育试点工作情况的报告》列入了监督工作重点，加强了对全市普惠托育试点工作目标安排、体系设计、政策支撑、职责划分以及落实情况的工作监督，强力推动了泸州普惠托育试点工作的高效高质。</w:t>
      </w:r>
    </w:p>
    <w:p w14:paraId="3ACCACCB">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rPr>
        <w:t>（三）聚焦示范，引领高水平创新突破</w:t>
      </w:r>
    </w:p>
    <w:p w14:paraId="7F6D4045">
      <w:pPr>
        <w:keepNext w:val="0"/>
        <w:keepLines w:val="0"/>
        <w:pageBreakBefore w:val="0"/>
        <w:widowControl/>
        <w:kinsoku/>
        <w:wordWrap/>
        <w:overflowPunct/>
        <w:topLinePunct w:val="0"/>
        <w:autoSpaceDE/>
        <w:autoSpaceDN/>
        <w:bidi w:val="0"/>
        <w:adjustRightInd/>
        <w:spacing w:line="580" w:lineRule="exact"/>
        <w:ind w:firstLine="643" w:firstLineChars="200"/>
        <w:jc w:val="left"/>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rPr>
        <w:t>泸州市人大常委会坚持监督与支持并重，坚持在实践中探索、在探索中创新，下深水，出实招，主动介入试点工作，瞄准试点难点、空白精准发力，在国省范围内首次提出“1573”普惠托育试点工作模式和“四个一”工作格局，并亲自部署推动园区普惠办托和企业普惠办托，“陪父母上班，带子女回家”的理想托育托管服务变成现实。</w:t>
      </w:r>
      <w:r>
        <w:rPr>
          <w:rFonts w:hint="default" w:ascii="Times New Roman" w:hAnsi="Times New Roman" w:eastAsia="方正仿宋简体" w:cs="Times New Roman"/>
          <w:b/>
          <w:bCs w:val="0"/>
          <w:color w:val="auto"/>
          <w:kern w:val="21"/>
          <w:sz w:val="28"/>
          <w:szCs w:val="28"/>
        </w:rPr>
        <w:t>（“1573”普惠托育模式</w:t>
      </w:r>
      <w:r>
        <w:rPr>
          <w:rFonts w:hint="default" w:ascii="Times New Roman" w:hAnsi="Times New Roman" w:eastAsia="方正仿宋简体" w:cs="Times New Roman"/>
          <w:b/>
          <w:bCs w:val="0"/>
          <w:color w:val="auto"/>
          <w:kern w:val="21"/>
          <w:sz w:val="28"/>
          <w:szCs w:val="28"/>
          <w:lang w:eastAsia="zh-CN"/>
        </w:rPr>
        <w:t>，</w:t>
      </w:r>
      <w:r>
        <w:rPr>
          <w:rFonts w:hint="default" w:ascii="Times New Roman" w:hAnsi="Times New Roman" w:eastAsia="方正仿宋简体" w:cs="Times New Roman"/>
          <w:b/>
          <w:bCs w:val="0"/>
          <w:color w:val="auto"/>
          <w:kern w:val="21"/>
          <w:sz w:val="28"/>
          <w:szCs w:val="28"/>
        </w:rPr>
        <w:t>“1”：</w:t>
      </w:r>
      <w:r>
        <w:rPr>
          <w:rFonts w:hint="default" w:ascii="Times New Roman" w:hAnsi="Times New Roman" w:eastAsia="方正仿宋简体" w:cs="Times New Roman"/>
          <w:b/>
          <w:bCs w:val="0"/>
          <w:color w:val="auto"/>
          <w:kern w:val="21"/>
          <w:sz w:val="28"/>
          <w:szCs w:val="28"/>
          <w:lang w:val="en-US" w:eastAsia="zh-CN"/>
        </w:rPr>
        <w:t>明确</w:t>
      </w:r>
      <w:r>
        <w:rPr>
          <w:rFonts w:hint="default" w:ascii="Times New Roman" w:hAnsi="Times New Roman" w:eastAsia="方正仿宋简体" w:cs="Times New Roman"/>
          <w:b/>
          <w:bCs w:val="0"/>
          <w:color w:val="auto"/>
          <w:kern w:val="21"/>
          <w:sz w:val="28"/>
          <w:szCs w:val="28"/>
        </w:rPr>
        <w:t>一个普惠托育认定标准</w:t>
      </w:r>
      <w:r>
        <w:rPr>
          <w:rFonts w:hint="default" w:ascii="Times New Roman" w:hAnsi="Times New Roman" w:eastAsia="方正仿宋简体" w:cs="Times New Roman"/>
          <w:b/>
          <w:bCs w:val="0"/>
          <w:color w:val="auto"/>
          <w:kern w:val="21"/>
          <w:sz w:val="28"/>
          <w:szCs w:val="28"/>
          <w:lang w:eastAsia="zh-CN"/>
        </w:rPr>
        <w:t>；</w:t>
      </w:r>
      <w:r>
        <w:rPr>
          <w:rFonts w:hint="default" w:ascii="Times New Roman" w:hAnsi="Times New Roman" w:eastAsia="方正仿宋简体" w:cs="Times New Roman"/>
          <w:b/>
          <w:bCs w:val="0"/>
          <w:color w:val="auto"/>
          <w:kern w:val="21"/>
          <w:sz w:val="28"/>
          <w:szCs w:val="28"/>
        </w:rPr>
        <w:t>“5”：开展五种普惠托育模式，即园区办托、企业办托、事业办托、社区办托、幼儿园办托</w:t>
      </w:r>
      <w:r>
        <w:rPr>
          <w:rFonts w:hint="default" w:ascii="Times New Roman" w:hAnsi="Times New Roman" w:eastAsia="方正仿宋简体" w:cs="Times New Roman"/>
          <w:b/>
          <w:bCs w:val="0"/>
          <w:color w:val="auto"/>
          <w:kern w:val="21"/>
          <w:sz w:val="28"/>
          <w:szCs w:val="28"/>
          <w:lang w:eastAsia="zh-CN"/>
        </w:rPr>
        <w:t>；</w:t>
      </w:r>
      <w:r>
        <w:rPr>
          <w:rFonts w:hint="default" w:ascii="Times New Roman" w:hAnsi="Times New Roman" w:eastAsia="方正仿宋简体" w:cs="Times New Roman"/>
          <w:b/>
          <w:bCs w:val="0"/>
          <w:color w:val="auto"/>
          <w:kern w:val="21"/>
          <w:sz w:val="28"/>
          <w:szCs w:val="28"/>
        </w:rPr>
        <w:t>“7”：出台七</w:t>
      </w:r>
      <w:r>
        <w:rPr>
          <w:rFonts w:hint="default" w:ascii="Times New Roman" w:hAnsi="Times New Roman" w:eastAsia="方正仿宋简体" w:cs="Times New Roman"/>
          <w:b/>
          <w:bCs w:val="0"/>
          <w:color w:val="auto"/>
          <w:kern w:val="21"/>
          <w:sz w:val="28"/>
          <w:szCs w:val="28"/>
          <w:lang w:val="en-US" w:eastAsia="zh-CN"/>
        </w:rPr>
        <w:t>类支持</w:t>
      </w:r>
      <w:r>
        <w:rPr>
          <w:rFonts w:hint="default" w:ascii="Times New Roman" w:hAnsi="Times New Roman" w:eastAsia="方正仿宋简体" w:cs="Times New Roman"/>
          <w:b/>
          <w:bCs w:val="0"/>
          <w:color w:val="auto"/>
          <w:kern w:val="21"/>
          <w:sz w:val="28"/>
          <w:szCs w:val="28"/>
        </w:rPr>
        <w:t>政策，</w:t>
      </w:r>
      <w:r>
        <w:rPr>
          <w:rFonts w:hint="default" w:ascii="Times New Roman" w:hAnsi="Times New Roman" w:eastAsia="方正仿宋简体" w:cs="Times New Roman"/>
          <w:b/>
          <w:bCs w:val="0"/>
          <w:color w:val="auto"/>
          <w:kern w:val="21"/>
          <w:sz w:val="28"/>
          <w:szCs w:val="28"/>
          <w:lang w:val="en-US" w:eastAsia="zh-CN"/>
        </w:rPr>
        <w:t>即</w:t>
      </w:r>
      <w:r>
        <w:rPr>
          <w:rFonts w:hint="default" w:ascii="Times New Roman" w:hAnsi="Times New Roman" w:eastAsia="方正仿宋简体" w:cs="Times New Roman"/>
          <w:b/>
          <w:bCs w:val="0"/>
          <w:color w:val="auto"/>
          <w:kern w:val="21"/>
          <w:sz w:val="28"/>
          <w:szCs w:val="28"/>
        </w:rPr>
        <w:t>建设补助、运营补助、培训补助、价格</w:t>
      </w:r>
      <w:r>
        <w:rPr>
          <w:rFonts w:hint="default" w:ascii="Times New Roman" w:hAnsi="Times New Roman" w:eastAsia="方正仿宋简体" w:cs="Times New Roman"/>
          <w:b/>
          <w:bCs w:val="0"/>
          <w:color w:val="auto"/>
          <w:kern w:val="21"/>
          <w:sz w:val="28"/>
          <w:szCs w:val="28"/>
          <w:lang w:val="en-US" w:eastAsia="zh-CN"/>
        </w:rPr>
        <w:t>优惠</w:t>
      </w:r>
      <w:r>
        <w:rPr>
          <w:rFonts w:hint="default" w:ascii="Times New Roman" w:hAnsi="Times New Roman" w:eastAsia="方正仿宋简体" w:cs="Times New Roman"/>
          <w:b/>
          <w:bCs w:val="0"/>
          <w:color w:val="auto"/>
          <w:kern w:val="21"/>
          <w:sz w:val="28"/>
          <w:szCs w:val="28"/>
        </w:rPr>
        <w:t>、房租减免、用地保障、税收优惠</w:t>
      </w:r>
      <w:r>
        <w:rPr>
          <w:rFonts w:hint="default" w:ascii="Times New Roman" w:hAnsi="Times New Roman" w:eastAsia="方正仿宋简体" w:cs="Times New Roman"/>
          <w:b/>
          <w:bCs w:val="0"/>
          <w:color w:val="auto"/>
          <w:kern w:val="21"/>
          <w:sz w:val="28"/>
          <w:szCs w:val="28"/>
          <w:lang w:eastAsia="zh-CN"/>
        </w:rPr>
        <w:t>；</w:t>
      </w:r>
      <w:r>
        <w:rPr>
          <w:rFonts w:hint="default" w:ascii="Times New Roman" w:hAnsi="Times New Roman" w:eastAsia="方正仿宋简体" w:cs="Times New Roman"/>
          <w:b/>
          <w:bCs w:val="0"/>
          <w:color w:val="auto"/>
          <w:kern w:val="21"/>
          <w:sz w:val="28"/>
          <w:szCs w:val="28"/>
        </w:rPr>
        <w:t>“3”：</w:t>
      </w:r>
      <w:r>
        <w:rPr>
          <w:rFonts w:hint="default" w:ascii="Times New Roman" w:hAnsi="Times New Roman" w:eastAsia="方正仿宋简体" w:cs="Times New Roman"/>
          <w:b/>
          <w:bCs w:val="0"/>
          <w:color w:val="auto"/>
          <w:kern w:val="21"/>
          <w:sz w:val="28"/>
          <w:szCs w:val="28"/>
          <w:lang w:val="en-US" w:eastAsia="zh-CN"/>
        </w:rPr>
        <w:t>建立</w:t>
      </w:r>
      <w:r>
        <w:rPr>
          <w:rFonts w:hint="default" w:ascii="Times New Roman" w:hAnsi="Times New Roman" w:eastAsia="方正仿宋简体" w:cs="Times New Roman"/>
          <w:b/>
          <w:bCs w:val="0"/>
          <w:color w:val="auto"/>
          <w:kern w:val="21"/>
          <w:sz w:val="28"/>
          <w:szCs w:val="28"/>
        </w:rPr>
        <w:t>三大平台，</w:t>
      </w:r>
      <w:r>
        <w:rPr>
          <w:rFonts w:hint="default" w:ascii="Times New Roman" w:hAnsi="Times New Roman" w:eastAsia="方正仿宋简体" w:cs="Times New Roman"/>
          <w:b/>
          <w:bCs w:val="0"/>
          <w:color w:val="auto"/>
          <w:kern w:val="21"/>
          <w:sz w:val="28"/>
          <w:szCs w:val="28"/>
          <w:lang w:val="en-US" w:eastAsia="zh-CN"/>
        </w:rPr>
        <w:t>即</w:t>
      </w:r>
      <w:r>
        <w:rPr>
          <w:rFonts w:hint="default" w:ascii="Times New Roman" w:hAnsi="Times New Roman" w:eastAsia="方正仿宋简体" w:cs="Times New Roman"/>
          <w:b/>
          <w:bCs w:val="0"/>
          <w:color w:val="auto"/>
          <w:kern w:val="21"/>
          <w:sz w:val="28"/>
          <w:szCs w:val="28"/>
        </w:rPr>
        <w:t>人才培养</w:t>
      </w:r>
      <w:r>
        <w:rPr>
          <w:rFonts w:hint="default" w:ascii="Times New Roman" w:hAnsi="Times New Roman" w:eastAsia="方正仿宋简体" w:cs="Times New Roman"/>
          <w:b/>
          <w:bCs w:val="0"/>
          <w:color w:val="auto"/>
          <w:kern w:val="21"/>
          <w:sz w:val="28"/>
          <w:szCs w:val="28"/>
          <w:lang w:val="en-US" w:eastAsia="zh-CN"/>
        </w:rPr>
        <w:t>平台</w:t>
      </w:r>
      <w:r>
        <w:rPr>
          <w:rFonts w:hint="default" w:ascii="Times New Roman" w:hAnsi="Times New Roman" w:eastAsia="方正仿宋简体" w:cs="Times New Roman"/>
          <w:b/>
          <w:bCs w:val="0"/>
          <w:color w:val="auto"/>
          <w:kern w:val="21"/>
          <w:sz w:val="28"/>
          <w:szCs w:val="28"/>
        </w:rPr>
        <w:t>、照护服务</w:t>
      </w:r>
      <w:r>
        <w:rPr>
          <w:rFonts w:hint="default" w:ascii="Times New Roman" w:hAnsi="Times New Roman" w:eastAsia="方正仿宋简体" w:cs="Times New Roman"/>
          <w:b/>
          <w:bCs w:val="0"/>
          <w:color w:val="auto"/>
          <w:kern w:val="21"/>
          <w:sz w:val="28"/>
          <w:szCs w:val="28"/>
          <w:lang w:val="en-US" w:eastAsia="zh-CN"/>
        </w:rPr>
        <w:t>平台</w:t>
      </w:r>
      <w:r>
        <w:rPr>
          <w:rFonts w:hint="default" w:ascii="Times New Roman" w:hAnsi="Times New Roman" w:eastAsia="方正仿宋简体" w:cs="Times New Roman"/>
          <w:b/>
          <w:bCs w:val="0"/>
          <w:color w:val="auto"/>
          <w:kern w:val="21"/>
          <w:sz w:val="28"/>
          <w:szCs w:val="28"/>
        </w:rPr>
        <w:t>、</w:t>
      </w:r>
      <w:r>
        <w:rPr>
          <w:rFonts w:hint="default" w:ascii="Times New Roman" w:hAnsi="Times New Roman" w:eastAsia="方正仿宋简体" w:cs="Times New Roman"/>
          <w:b/>
          <w:bCs w:val="0"/>
          <w:color w:val="auto"/>
          <w:kern w:val="21"/>
          <w:sz w:val="28"/>
          <w:szCs w:val="28"/>
          <w:lang w:val="en-US" w:eastAsia="zh-CN"/>
        </w:rPr>
        <w:t>综合</w:t>
      </w:r>
      <w:r>
        <w:rPr>
          <w:rFonts w:hint="default" w:ascii="Times New Roman" w:hAnsi="Times New Roman" w:eastAsia="方正仿宋简体" w:cs="Times New Roman"/>
          <w:b/>
          <w:bCs w:val="0"/>
          <w:color w:val="auto"/>
          <w:kern w:val="21"/>
          <w:sz w:val="28"/>
          <w:szCs w:val="28"/>
        </w:rPr>
        <w:t>监管</w:t>
      </w:r>
      <w:r>
        <w:rPr>
          <w:rFonts w:hint="default" w:ascii="Times New Roman" w:hAnsi="Times New Roman" w:eastAsia="方正仿宋简体" w:cs="Times New Roman"/>
          <w:b/>
          <w:bCs w:val="0"/>
          <w:color w:val="auto"/>
          <w:kern w:val="21"/>
          <w:sz w:val="28"/>
          <w:szCs w:val="28"/>
          <w:lang w:val="en-US" w:eastAsia="zh-CN"/>
        </w:rPr>
        <w:t>平台。</w:t>
      </w:r>
      <w:r>
        <w:rPr>
          <w:rFonts w:hint="default" w:ascii="Times New Roman" w:hAnsi="Times New Roman" w:eastAsia="方正仿宋简体" w:cs="Times New Roman"/>
          <w:b/>
          <w:bCs w:val="0"/>
          <w:color w:val="auto"/>
          <w:kern w:val="21"/>
          <w:sz w:val="28"/>
          <w:szCs w:val="28"/>
        </w:rPr>
        <w:t>“四个一”普惠托育试点工作格局是明确“一个取向”：即“服务国家人口发展战略、服务地方经济社会高质量发展、服务‘民心守护’工程落地落实，加快推进新时代区域中心城市建设”；确立“一个目标”即：努力打造全国婴幼儿照护服务示范城市；构建“一个机制”即：“党委领导、人大助推、政府主导、社会协同、城乡统筹、分级负责、属地管理”；坚持“一个原则”：即“家庭为主、托育补充、因地制宜、安全规范”）</w:t>
      </w:r>
    </w:p>
    <w:p w14:paraId="55148833">
      <w:pPr>
        <w:keepNext w:val="0"/>
        <w:keepLines w:val="0"/>
        <w:pageBreakBefore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简体" w:cs="Times New Roman"/>
          <w:b/>
          <w:bCs w:val="0"/>
          <w:color w:val="auto"/>
          <w:sz w:val="32"/>
          <w:szCs w:val="32"/>
          <w:lang w:val="en"/>
        </w:rPr>
      </w:pPr>
      <w:r>
        <w:rPr>
          <w:rFonts w:hint="default" w:ascii="Times New Roman" w:hAnsi="Times New Roman" w:eastAsia="方正仿宋简体" w:cs="Times New Roman"/>
          <w:b/>
          <w:bCs w:val="0"/>
          <w:color w:val="auto"/>
          <w:sz w:val="32"/>
          <w:szCs w:val="32"/>
        </w:rPr>
        <w:t>以人大之力助推泸州普惠托育试点工作走出一条可复制、可推广、可持续的泸州路径，泸州人大的工作得到了全国人大教科文卫委、全国政协、国家卫健委、省人大常委会、省人大教科文卫委及市委市政府的充分肯定。获评“2022年度健康四川行动推进十大经典案例”，“2022年度泸州改革典型案例”和“为群众办实事优秀事例”，泸州职业技术学院、酒业园区管委会分别被评为2022年、2023年“全国爱心托育用人单位”，相关试点工作</w:t>
      </w:r>
      <w:r>
        <w:rPr>
          <w:rFonts w:hint="default" w:ascii="Times New Roman" w:hAnsi="Times New Roman" w:eastAsia="方正仿宋简体" w:cs="Times New Roman"/>
          <w:b/>
          <w:bCs w:val="0"/>
          <w:color w:val="auto"/>
          <w:sz w:val="32"/>
          <w:szCs w:val="32"/>
          <w:lang w:val="en"/>
        </w:rPr>
        <w:t>在2024年“全国一老一小”经验交流现场会和全省卫生健康工作大会上作经验交流，同时</w:t>
      </w:r>
      <w:r>
        <w:rPr>
          <w:rFonts w:hint="default" w:ascii="Times New Roman" w:hAnsi="Times New Roman" w:eastAsia="方正仿宋简体" w:cs="Times New Roman"/>
          <w:b/>
          <w:bCs w:val="0"/>
          <w:color w:val="auto"/>
          <w:sz w:val="32"/>
          <w:szCs w:val="32"/>
        </w:rPr>
        <w:t>被《中国人大》、中国人大网、《人民权力报》、新华网、国家卫生健康委《工作交流》专刊等刊载推广。</w:t>
      </w:r>
      <w:r>
        <w:rPr>
          <w:rFonts w:hint="default" w:ascii="Times New Roman" w:hAnsi="Times New Roman" w:eastAsia="方正仿宋简体" w:cs="Times New Roman"/>
          <w:b/>
          <w:bCs w:val="0"/>
          <w:color w:val="auto"/>
          <w:sz w:val="32"/>
          <w:szCs w:val="32"/>
          <w:lang w:val="en"/>
        </w:rPr>
        <w:t>2023年</w:t>
      </w:r>
      <w:r>
        <w:rPr>
          <w:rFonts w:hint="default" w:ascii="Times New Roman" w:hAnsi="Times New Roman" w:eastAsia="方正仿宋简体" w:cs="Times New Roman"/>
          <w:b/>
          <w:bCs w:val="0"/>
          <w:color w:val="auto"/>
          <w:sz w:val="32"/>
          <w:szCs w:val="32"/>
        </w:rPr>
        <w:t>12月，泸州市获批首批“中央财政支持普惠托育服务发展示范项目”。</w:t>
      </w:r>
      <w:r>
        <w:rPr>
          <w:rFonts w:hint="default" w:ascii="Times New Roman" w:hAnsi="Times New Roman" w:eastAsia="方正仿宋简体" w:cs="Times New Roman"/>
          <w:b/>
          <w:bCs w:val="0"/>
          <w:color w:val="auto"/>
          <w:sz w:val="32"/>
          <w:szCs w:val="32"/>
          <w:lang w:val="en"/>
        </w:rPr>
        <w:t>泸州市普惠托育试点工作正在从一项“试点任务”，逐步向为民办实事、提升城市能级、促进社会文明和谐发生转变。</w:t>
      </w:r>
    </w:p>
    <w:p w14:paraId="13AEBEE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黑体简体" w:cs="Times New Roman"/>
          <w:b/>
          <w:bCs w:val="0"/>
          <w:snapToGrid w:val="0"/>
          <w:color w:val="auto"/>
          <w:kern w:val="0"/>
          <w:sz w:val="32"/>
          <w:szCs w:val="32"/>
          <w:lang w:eastAsia="zh-CN"/>
        </w:rPr>
      </w:pPr>
    </w:p>
    <w:p w14:paraId="2ADCB5B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黑体简体" w:cs="Times New Roman"/>
          <w:b/>
          <w:bCs w:val="0"/>
          <w:color w:val="auto"/>
          <w:sz w:val="32"/>
          <w:szCs w:val="32"/>
        </w:rPr>
      </w:pPr>
      <w:r>
        <w:rPr>
          <w:rFonts w:hint="default" w:ascii="Times New Roman" w:hAnsi="Times New Roman" w:eastAsia="方正黑体简体" w:cs="Times New Roman"/>
          <w:b/>
          <w:bCs w:val="0"/>
          <w:snapToGrid w:val="0"/>
          <w:color w:val="auto"/>
          <w:kern w:val="0"/>
          <w:sz w:val="32"/>
          <w:szCs w:val="32"/>
          <w:lang w:eastAsia="zh-CN"/>
        </w:rPr>
        <w:t>思考和启发</w:t>
      </w:r>
    </w:p>
    <w:p w14:paraId="782D3CBD">
      <w:pPr>
        <w:keepNext w:val="0"/>
        <w:keepLines w:val="0"/>
        <w:pageBreakBefore w:val="0"/>
        <w:widowControl w:val="0"/>
        <w:numPr>
          <w:ilvl w:val="0"/>
          <w:numId w:val="1"/>
        </w:numPr>
        <w:kinsoku/>
        <w:wordWrap/>
        <w:overflowPunct/>
        <w:topLinePunct w:val="0"/>
        <w:autoSpaceDE/>
        <w:autoSpaceDN/>
        <w:bidi w:val="0"/>
        <w:spacing w:line="580" w:lineRule="exact"/>
        <w:ind w:firstLine="643" w:firstLineChars="200"/>
        <w:textAlignment w:val="auto"/>
        <w:rPr>
          <w:rFonts w:hint="default" w:ascii="Times New Roman" w:hAnsi="Times New Roman" w:eastAsia="方正楷体简体" w:cs="Times New Roman"/>
          <w:b/>
          <w:bCs w:val="0"/>
          <w:color w:val="auto"/>
          <w:sz w:val="32"/>
        </w:rPr>
      </w:pPr>
      <w:r>
        <w:rPr>
          <w:rFonts w:hint="default" w:ascii="Times New Roman" w:hAnsi="Times New Roman" w:eastAsia="方正楷体简体" w:cs="Times New Roman"/>
          <w:b/>
          <w:bCs w:val="0"/>
          <w:color w:val="auto"/>
          <w:sz w:val="32"/>
        </w:rPr>
        <w:t>提高站位是</w:t>
      </w:r>
      <w:r>
        <w:rPr>
          <w:rFonts w:hint="default" w:ascii="Times New Roman" w:hAnsi="Times New Roman" w:eastAsia="方正楷体简体" w:cs="Times New Roman"/>
          <w:b/>
          <w:bCs w:val="0"/>
          <w:color w:val="auto"/>
          <w:sz w:val="32"/>
          <w:lang w:val="en-US" w:eastAsia="zh-CN"/>
        </w:rPr>
        <w:t>助推工作</w:t>
      </w:r>
      <w:r>
        <w:rPr>
          <w:rFonts w:hint="default" w:ascii="Times New Roman" w:hAnsi="Times New Roman" w:eastAsia="方正楷体简体" w:cs="Times New Roman"/>
          <w:b/>
          <w:bCs w:val="0"/>
          <w:color w:val="auto"/>
          <w:sz w:val="32"/>
        </w:rPr>
        <w:t>的首要前提</w:t>
      </w:r>
    </w:p>
    <w:p w14:paraId="4FDEAC7C">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普惠托育是减轻家庭负担、解决职工“带娃难”的家事，也是提振生育、实现中华民族伟大复兴的国事，对促进社会公平、提高人口素质、推动可持续发展起着关键作用，这就要求要站在国家发展、民族</w:t>
      </w:r>
      <w:r>
        <w:rPr>
          <w:rFonts w:hint="default" w:ascii="Times New Roman" w:hAnsi="Times New Roman" w:eastAsia="方正仿宋简体" w:cs="Times New Roman"/>
          <w:b/>
          <w:bCs w:val="0"/>
          <w:color w:val="auto"/>
          <w:sz w:val="32"/>
          <w:szCs w:val="32"/>
          <w:lang w:val="en"/>
        </w:rPr>
        <w:t>复兴</w:t>
      </w:r>
      <w:r>
        <w:rPr>
          <w:rFonts w:hint="default" w:ascii="Times New Roman" w:hAnsi="Times New Roman" w:eastAsia="方正仿宋简体" w:cs="Times New Roman"/>
          <w:b/>
          <w:bCs w:val="0"/>
          <w:color w:val="auto"/>
          <w:sz w:val="32"/>
          <w:szCs w:val="32"/>
        </w:rPr>
        <w:t>的高度，充分认识普惠托育的重要性。近些年来，正是由于</w:t>
      </w:r>
      <w:r>
        <w:rPr>
          <w:rFonts w:hint="default" w:ascii="Times New Roman" w:hAnsi="Times New Roman" w:eastAsia="方正仿宋简体" w:cs="Times New Roman"/>
          <w:b/>
          <w:bCs w:val="0"/>
          <w:color w:val="auto"/>
          <w:sz w:val="32"/>
          <w:szCs w:val="32"/>
          <w:lang w:val="en"/>
        </w:rPr>
        <w:t>国省人大常委会的高度重视和关心指导，</w:t>
      </w:r>
      <w:r>
        <w:rPr>
          <w:rFonts w:hint="default" w:ascii="Times New Roman" w:hAnsi="Times New Roman" w:eastAsia="方正仿宋简体" w:cs="Times New Roman"/>
          <w:b/>
          <w:bCs w:val="0"/>
          <w:color w:val="auto"/>
          <w:sz w:val="32"/>
          <w:szCs w:val="32"/>
        </w:rPr>
        <w:t>市委的</w:t>
      </w:r>
      <w:r>
        <w:rPr>
          <w:rFonts w:hint="default" w:ascii="Times New Roman" w:hAnsi="Times New Roman" w:eastAsia="方正仿宋简体" w:cs="Times New Roman"/>
          <w:b/>
          <w:bCs w:val="0"/>
          <w:color w:val="auto"/>
          <w:sz w:val="32"/>
          <w:szCs w:val="32"/>
          <w:lang w:val="en"/>
        </w:rPr>
        <w:t>充分肯定和大力支持</w:t>
      </w:r>
      <w:r>
        <w:rPr>
          <w:rFonts w:hint="default" w:ascii="Times New Roman" w:hAnsi="Times New Roman" w:eastAsia="方正仿宋简体" w:cs="Times New Roman"/>
          <w:b/>
          <w:bCs w:val="0"/>
          <w:color w:val="auto"/>
          <w:sz w:val="32"/>
          <w:szCs w:val="32"/>
        </w:rPr>
        <w:t>，</w:t>
      </w:r>
      <w:r>
        <w:rPr>
          <w:rFonts w:hint="default" w:ascii="Times New Roman" w:hAnsi="Times New Roman" w:eastAsia="方正仿宋简体" w:cs="Times New Roman"/>
          <w:b/>
          <w:bCs w:val="0"/>
          <w:color w:val="auto"/>
          <w:sz w:val="32"/>
          <w:szCs w:val="32"/>
          <w:lang w:val="en-US" w:eastAsia="zh-CN"/>
        </w:rPr>
        <w:t>泸州市人大</w:t>
      </w:r>
      <w:r>
        <w:rPr>
          <w:rFonts w:hint="default" w:ascii="Times New Roman" w:hAnsi="Times New Roman" w:eastAsia="方正仿宋简体" w:cs="Times New Roman"/>
          <w:b/>
          <w:bCs w:val="0"/>
          <w:color w:val="auto"/>
          <w:kern w:val="21"/>
          <w:sz w:val="32"/>
          <w:szCs w:val="32"/>
        </w:rPr>
        <w:t>在助推工作中不断提高思想认识、修正工作方向、完善试点举措，确保了助推工作高标准、高水平、高质量开展。</w:t>
      </w:r>
    </w:p>
    <w:p w14:paraId="3A601EAF">
      <w:pPr>
        <w:keepNext w:val="0"/>
        <w:keepLines w:val="0"/>
        <w:pageBreakBefore w:val="0"/>
        <w:widowControl w:val="0"/>
        <w:numPr>
          <w:ilvl w:val="0"/>
          <w:numId w:val="1"/>
        </w:numPr>
        <w:kinsoku/>
        <w:wordWrap/>
        <w:overflowPunct/>
        <w:topLinePunct w:val="0"/>
        <w:autoSpaceDE/>
        <w:autoSpaceDN/>
        <w:bidi w:val="0"/>
        <w:spacing w:line="580" w:lineRule="exact"/>
        <w:ind w:left="0" w:leftChars="0" w:firstLine="643" w:firstLineChars="200"/>
        <w:textAlignment w:val="auto"/>
        <w:rPr>
          <w:rFonts w:hint="default" w:ascii="Times New Roman" w:hAnsi="Times New Roman" w:eastAsia="方正楷体简体" w:cs="Times New Roman"/>
          <w:b/>
          <w:bCs w:val="0"/>
          <w:color w:val="auto"/>
          <w:sz w:val="32"/>
        </w:rPr>
      </w:pPr>
      <w:r>
        <w:rPr>
          <w:rFonts w:hint="default" w:ascii="Times New Roman" w:hAnsi="Times New Roman" w:eastAsia="方正楷体简体" w:cs="Times New Roman"/>
          <w:b/>
          <w:bCs w:val="0"/>
          <w:color w:val="auto"/>
          <w:sz w:val="32"/>
          <w:lang w:val="en-US" w:eastAsia="zh-CN"/>
        </w:rPr>
        <w:t>高位</w:t>
      </w:r>
      <w:r>
        <w:rPr>
          <w:rFonts w:hint="default" w:ascii="Times New Roman" w:hAnsi="Times New Roman" w:eastAsia="方正楷体简体" w:cs="Times New Roman"/>
          <w:b/>
          <w:bCs w:val="0"/>
          <w:color w:val="auto"/>
          <w:sz w:val="32"/>
          <w:lang w:val="en"/>
        </w:rPr>
        <w:t>推动</w:t>
      </w:r>
      <w:r>
        <w:rPr>
          <w:rFonts w:hint="default" w:ascii="Times New Roman" w:hAnsi="Times New Roman" w:eastAsia="方正楷体简体" w:cs="Times New Roman"/>
          <w:b/>
          <w:bCs w:val="0"/>
          <w:color w:val="auto"/>
          <w:sz w:val="32"/>
        </w:rPr>
        <w:t>是</w:t>
      </w:r>
      <w:r>
        <w:rPr>
          <w:rFonts w:hint="default" w:ascii="Times New Roman" w:hAnsi="Times New Roman" w:eastAsia="方正楷体简体" w:cs="Times New Roman"/>
          <w:b/>
          <w:bCs w:val="0"/>
          <w:color w:val="auto"/>
          <w:sz w:val="32"/>
          <w:lang w:val="en-US" w:eastAsia="zh-CN"/>
        </w:rPr>
        <w:t>助推工作</w:t>
      </w:r>
      <w:r>
        <w:rPr>
          <w:rFonts w:hint="default" w:ascii="Times New Roman" w:hAnsi="Times New Roman" w:eastAsia="方正楷体简体" w:cs="Times New Roman"/>
          <w:b/>
          <w:bCs w:val="0"/>
          <w:color w:val="auto"/>
          <w:sz w:val="32"/>
        </w:rPr>
        <w:t>的关键所在</w:t>
      </w:r>
    </w:p>
    <w:p w14:paraId="65CFFD53">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val="0"/>
          <w:color w:val="auto"/>
          <w:kern w:val="21"/>
          <w:sz w:val="32"/>
          <w:szCs w:val="32"/>
        </w:rPr>
      </w:pPr>
      <w:r>
        <w:rPr>
          <w:rFonts w:hint="default" w:ascii="Times New Roman" w:hAnsi="Times New Roman" w:eastAsia="方正仿宋简体" w:cs="Times New Roman"/>
          <w:b/>
          <w:bCs w:val="0"/>
          <w:color w:val="auto"/>
          <w:kern w:val="21"/>
          <w:sz w:val="32"/>
          <w:szCs w:val="32"/>
        </w:rPr>
        <w:t>始终保持高度关注、持续跟进的助推态势，</w:t>
      </w:r>
      <w:r>
        <w:rPr>
          <w:rFonts w:hint="default" w:ascii="Times New Roman" w:hAnsi="Times New Roman" w:eastAsia="方正仿宋简体" w:cs="Times New Roman"/>
          <w:b/>
          <w:bCs w:val="0"/>
          <w:color w:val="auto"/>
          <w:kern w:val="21"/>
          <w:sz w:val="32"/>
          <w:szCs w:val="32"/>
          <w:lang w:val="en"/>
        </w:rPr>
        <w:t>建立健全</w:t>
      </w:r>
      <w:r>
        <w:rPr>
          <w:rFonts w:hint="default" w:ascii="Times New Roman" w:hAnsi="Times New Roman" w:eastAsia="方正仿宋简体" w:cs="Times New Roman"/>
          <w:b/>
          <w:bCs w:val="0"/>
          <w:color w:val="auto"/>
          <w:kern w:val="21"/>
          <w:sz w:val="32"/>
          <w:szCs w:val="32"/>
        </w:rPr>
        <w:t>普惠托育试点助推</w:t>
      </w:r>
      <w:r>
        <w:rPr>
          <w:rFonts w:hint="default" w:ascii="Times New Roman" w:hAnsi="Times New Roman" w:eastAsia="方正仿宋简体" w:cs="Times New Roman"/>
          <w:b/>
          <w:bCs w:val="0"/>
          <w:color w:val="auto"/>
          <w:kern w:val="21"/>
          <w:sz w:val="32"/>
          <w:szCs w:val="32"/>
          <w:lang w:val="en"/>
        </w:rPr>
        <w:t>工作机制</w:t>
      </w:r>
      <w:r>
        <w:rPr>
          <w:rFonts w:hint="default" w:ascii="Times New Roman" w:hAnsi="Times New Roman" w:eastAsia="方正仿宋简体" w:cs="Times New Roman"/>
          <w:b/>
          <w:bCs w:val="0"/>
          <w:color w:val="auto"/>
          <w:kern w:val="21"/>
          <w:sz w:val="32"/>
          <w:szCs w:val="32"/>
        </w:rPr>
        <w:t>，将试点工作纳入市人大常委会工作要点和全市重点改革事项，</w:t>
      </w:r>
      <w:r>
        <w:rPr>
          <w:rFonts w:hint="default" w:ascii="Times New Roman" w:hAnsi="Times New Roman" w:eastAsia="方正仿宋简体" w:cs="Times New Roman"/>
          <w:b/>
          <w:bCs w:val="0"/>
          <w:color w:val="auto"/>
          <w:kern w:val="21"/>
          <w:sz w:val="32"/>
          <w:szCs w:val="32"/>
          <w:lang w:val="en"/>
        </w:rPr>
        <w:t>积极</w:t>
      </w:r>
      <w:r>
        <w:rPr>
          <w:rFonts w:hint="default" w:ascii="Times New Roman" w:hAnsi="Times New Roman" w:eastAsia="方正仿宋简体" w:cs="Times New Roman"/>
          <w:b/>
          <w:bCs w:val="0"/>
          <w:color w:val="auto"/>
          <w:kern w:val="21"/>
          <w:sz w:val="32"/>
          <w:szCs w:val="32"/>
        </w:rPr>
        <w:t>向省人大常委会和市委汇报试点工作情况，</w:t>
      </w:r>
      <w:r>
        <w:rPr>
          <w:rFonts w:hint="default" w:ascii="Times New Roman" w:hAnsi="Times New Roman" w:eastAsia="方正仿宋简体" w:cs="Times New Roman"/>
          <w:b/>
          <w:bCs w:val="0"/>
          <w:color w:val="auto"/>
          <w:kern w:val="21"/>
          <w:sz w:val="32"/>
          <w:szCs w:val="32"/>
          <w:lang w:val="en"/>
        </w:rPr>
        <w:t>争取指导和支持，并</w:t>
      </w:r>
      <w:r>
        <w:rPr>
          <w:rFonts w:hint="default" w:ascii="Times New Roman" w:hAnsi="Times New Roman" w:eastAsia="方正仿宋简体" w:cs="Times New Roman"/>
          <w:b/>
          <w:bCs w:val="0"/>
          <w:color w:val="auto"/>
          <w:kern w:val="21"/>
          <w:sz w:val="32"/>
          <w:szCs w:val="32"/>
        </w:rPr>
        <w:t>会同市政府及相关部门专题研究</w:t>
      </w:r>
      <w:r>
        <w:rPr>
          <w:rFonts w:hint="default" w:ascii="Times New Roman" w:hAnsi="Times New Roman" w:eastAsia="方正仿宋简体" w:cs="Times New Roman"/>
          <w:b/>
          <w:bCs w:val="0"/>
          <w:color w:val="auto"/>
          <w:kern w:val="21"/>
          <w:sz w:val="32"/>
          <w:szCs w:val="32"/>
          <w:lang w:eastAsia="zh-CN"/>
        </w:rPr>
        <w:t>、</w:t>
      </w:r>
      <w:r>
        <w:rPr>
          <w:rFonts w:hint="default" w:ascii="Times New Roman" w:hAnsi="Times New Roman" w:eastAsia="方正仿宋简体" w:cs="Times New Roman"/>
          <w:b/>
          <w:bCs w:val="0"/>
          <w:color w:val="auto"/>
          <w:kern w:val="21"/>
          <w:sz w:val="32"/>
          <w:szCs w:val="32"/>
        </w:rPr>
        <w:t>专题会商</w:t>
      </w:r>
      <w:r>
        <w:rPr>
          <w:rFonts w:hint="default" w:ascii="Times New Roman" w:hAnsi="Times New Roman" w:eastAsia="方正仿宋简体" w:cs="Times New Roman"/>
          <w:b/>
          <w:bCs w:val="0"/>
          <w:color w:val="auto"/>
          <w:kern w:val="21"/>
          <w:sz w:val="32"/>
          <w:szCs w:val="32"/>
          <w:lang w:eastAsia="zh-CN"/>
        </w:rPr>
        <w:t>，</w:t>
      </w:r>
      <w:r>
        <w:rPr>
          <w:rFonts w:hint="default" w:ascii="Times New Roman" w:hAnsi="Times New Roman" w:eastAsia="方正仿宋简体" w:cs="Times New Roman"/>
          <w:b/>
          <w:bCs w:val="0"/>
          <w:color w:val="auto"/>
          <w:kern w:val="21"/>
          <w:sz w:val="32"/>
          <w:szCs w:val="32"/>
        </w:rPr>
        <w:t>召开</w:t>
      </w:r>
      <w:r>
        <w:rPr>
          <w:rFonts w:hint="default" w:ascii="Times New Roman" w:hAnsi="Times New Roman" w:eastAsia="方正仿宋简体" w:cs="Times New Roman"/>
          <w:b/>
          <w:bCs w:val="0"/>
          <w:color w:val="auto"/>
          <w:kern w:val="21"/>
          <w:sz w:val="32"/>
          <w:szCs w:val="32"/>
          <w:lang w:eastAsia="zh-CN"/>
        </w:rPr>
        <w:t>分层分类</w:t>
      </w:r>
      <w:r>
        <w:rPr>
          <w:rFonts w:hint="default" w:ascii="Times New Roman" w:hAnsi="Times New Roman" w:eastAsia="方正仿宋简体" w:cs="Times New Roman"/>
          <w:b/>
          <w:bCs w:val="0"/>
          <w:color w:val="auto"/>
          <w:kern w:val="21"/>
          <w:sz w:val="32"/>
          <w:szCs w:val="32"/>
        </w:rPr>
        <w:t>座谈会，</w:t>
      </w:r>
      <w:r>
        <w:rPr>
          <w:rFonts w:hint="default" w:ascii="Times New Roman" w:hAnsi="Times New Roman" w:eastAsia="方正仿宋简体" w:cs="Times New Roman"/>
          <w:b/>
          <w:bCs w:val="0"/>
          <w:color w:val="auto"/>
          <w:sz w:val="32"/>
          <w:szCs w:val="36"/>
        </w:rPr>
        <w:t>确保政策支持、资金投入、跨部门合作的连续性和有效性</w:t>
      </w:r>
      <w:r>
        <w:rPr>
          <w:rFonts w:hint="default" w:ascii="Times New Roman" w:hAnsi="Times New Roman" w:eastAsia="方正仿宋简体" w:cs="Times New Roman"/>
          <w:b/>
          <w:bCs w:val="0"/>
          <w:color w:val="auto"/>
          <w:kern w:val="21"/>
          <w:sz w:val="32"/>
          <w:szCs w:val="32"/>
          <w:lang w:eastAsia="zh-CN"/>
        </w:rPr>
        <w:t>，</w:t>
      </w:r>
      <w:r>
        <w:rPr>
          <w:rFonts w:hint="default" w:ascii="Times New Roman" w:hAnsi="Times New Roman" w:eastAsia="方正仿宋简体" w:cs="Times New Roman"/>
          <w:b/>
          <w:bCs w:val="0"/>
          <w:color w:val="auto"/>
          <w:kern w:val="21"/>
          <w:sz w:val="32"/>
          <w:szCs w:val="32"/>
          <w:lang w:val="en" w:eastAsia="zh-CN"/>
        </w:rPr>
        <w:t>大力助推</w:t>
      </w:r>
      <w:r>
        <w:rPr>
          <w:rFonts w:hint="default" w:ascii="Times New Roman" w:hAnsi="Times New Roman" w:eastAsia="方正仿宋简体" w:cs="Times New Roman"/>
          <w:b/>
          <w:bCs w:val="0"/>
          <w:color w:val="auto"/>
          <w:kern w:val="21"/>
          <w:sz w:val="32"/>
          <w:szCs w:val="32"/>
        </w:rPr>
        <w:t>我市试点工作健康规范</w:t>
      </w:r>
      <w:r>
        <w:rPr>
          <w:rFonts w:hint="default" w:ascii="Times New Roman" w:hAnsi="Times New Roman" w:eastAsia="方正仿宋简体" w:cs="Times New Roman"/>
          <w:b/>
          <w:bCs w:val="0"/>
          <w:color w:val="auto"/>
          <w:kern w:val="21"/>
          <w:sz w:val="32"/>
          <w:szCs w:val="32"/>
          <w:lang w:val="en"/>
        </w:rPr>
        <w:t>发展</w:t>
      </w:r>
      <w:r>
        <w:rPr>
          <w:rFonts w:hint="default" w:ascii="Times New Roman" w:hAnsi="Times New Roman" w:eastAsia="方正仿宋简体" w:cs="Times New Roman"/>
          <w:b/>
          <w:bCs w:val="0"/>
          <w:color w:val="auto"/>
          <w:kern w:val="21"/>
          <w:sz w:val="32"/>
          <w:szCs w:val="32"/>
        </w:rPr>
        <w:t>。</w:t>
      </w:r>
    </w:p>
    <w:p w14:paraId="4A9C6745">
      <w:pPr>
        <w:keepNext w:val="0"/>
        <w:keepLines w:val="0"/>
        <w:pageBreakBefore w:val="0"/>
        <w:widowControl w:val="0"/>
        <w:numPr>
          <w:ilvl w:val="0"/>
          <w:numId w:val="1"/>
        </w:numPr>
        <w:kinsoku/>
        <w:wordWrap/>
        <w:overflowPunct/>
        <w:topLinePunct w:val="0"/>
        <w:autoSpaceDE/>
        <w:autoSpaceDN/>
        <w:bidi w:val="0"/>
        <w:adjustRightInd/>
        <w:spacing w:line="580" w:lineRule="exact"/>
        <w:ind w:left="0" w:leftChars="0" w:firstLine="643" w:firstLineChars="200"/>
        <w:textAlignment w:val="auto"/>
        <w:rPr>
          <w:rFonts w:hint="default" w:ascii="Times New Roman" w:hAnsi="Times New Roman" w:eastAsia="三极拙楷简体" w:cs="Times New Roman"/>
          <w:b/>
          <w:bCs w:val="0"/>
          <w:color w:val="auto"/>
          <w:kern w:val="21"/>
          <w:sz w:val="32"/>
          <w:szCs w:val="32"/>
        </w:rPr>
      </w:pPr>
      <w:r>
        <w:rPr>
          <w:rFonts w:hint="default" w:ascii="Times New Roman" w:hAnsi="Times New Roman" w:eastAsia="三极拙楷简体" w:cs="Times New Roman"/>
          <w:b/>
          <w:bCs w:val="0"/>
          <w:color w:val="auto"/>
          <w:kern w:val="21"/>
          <w:sz w:val="32"/>
          <w:szCs w:val="32"/>
        </w:rPr>
        <w:t>深入调研是助推工作的有力保障</w:t>
      </w:r>
    </w:p>
    <w:p w14:paraId="41D47B40">
      <w:pPr>
        <w:keepNext w:val="0"/>
        <w:keepLines w:val="0"/>
        <w:pageBreakBefore w:val="0"/>
        <w:widowControl w:val="0"/>
        <w:numPr>
          <w:ilvl w:val="0"/>
          <w:numId w:val="0"/>
        </w:numPr>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方正仿宋简体" w:cs="Times New Roman"/>
          <w:b/>
          <w:bCs w:val="0"/>
          <w:color w:val="auto"/>
          <w:sz w:val="32"/>
          <w:szCs w:val="36"/>
        </w:rPr>
      </w:pPr>
      <w:r>
        <w:rPr>
          <w:rFonts w:hint="default" w:ascii="Times New Roman" w:hAnsi="Times New Roman" w:eastAsia="方正仿宋简体" w:cs="Times New Roman"/>
          <w:b/>
          <w:bCs w:val="0"/>
          <w:color w:val="auto"/>
          <w:kern w:val="21"/>
          <w:sz w:val="32"/>
          <w:szCs w:val="32"/>
        </w:rPr>
        <w:t>组织市人大常委会组成人员、代表专业小组</w:t>
      </w:r>
      <w:r>
        <w:rPr>
          <w:rFonts w:hint="default" w:ascii="Times New Roman" w:hAnsi="Times New Roman" w:eastAsia="方正仿宋简体" w:cs="Times New Roman"/>
          <w:b/>
          <w:bCs w:val="0"/>
          <w:color w:val="auto"/>
          <w:kern w:val="21"/>
          <w:sz w:val="32"/>
          <w:szCs w:val="32"/>
          <w:lang w:eastAsia="zh-CN"/>
        </w:rPr>
        <w:t>、人大代表、</w:t>
      </w:r>
      <w:r>
        <w:rPr>
          <w:rFonts w:hint="default" w:ascii="Times New Roman" w:hAnsi="Times New Roman" w:eastAsia="方正仿宋简体" w:cs="Times New Roman"/>
          <w:b/>
          <w:bCs w:val="0"/>
          <w:color w:val="auto"/>
          <w:kern w:val="21"/>
          <w:sz w:val="32"/>
          <w:szCs w:val="32"/>
        </w:rPr>
        <w:t>相关职能部门</w:t>
      </w:r>
      <w:r>
        <w:rPr>
          <w:rFonts w:hint="default" w:ascii="Times New Roman" w:hAnsi="Times New Roman" w:eastAsia="方正仿宋简体" w:cs="Times New Roman"/>
          <w:b/>
          <w:bCs w:val="0"/>
          <w:color w:val="auto"/>
          <w:kern w:val="21"/>
          <w:sz w:val="32"/>
          <w:szCs w:val="32"/>
          <w:lang w:eastAsia="zh-CN"/>
        </w:rPr>
        <w:t>及专家学者</w:t>
      </w:r>
      <w:r>
        <w:rPr>
          <w:rFonts w:hint="default" w:ascii="Times New Roman" w:hAnsi="Times New Roman" w:eastAsia="方正仿宋简体" w:cs="Times New Roman"/>
          <w:b/>
          <w:bCs w:val="0"/>
          <w:color w:val="auto"/>
          <w:kern w:val="21"/>
          <w:sz w:val="32"/>
          <w:szCs w:val="32"/>
        </w:rPr>
        <w:t>等成立专题调研组，</w:t>
      </w:r>
      <w:r>
        <w:rPr>
          <w:rFonts w:hint="default" w:ascii="Times New Roman" w:hAnsi="Times New Roman" w:eastAsia="方正仿宋简体" w:cs="Times New Roman"/>
          <w:b/>
          <w:bCs w:val="0"/>
          <w:color w:val="auto"/>
          <w:kern w:val="21"/>
          <w:sz w:val="32"/>
          <w:szCs w:val="32"/>
          <w:lang w:val="en"/>
        </w:rPr>
        <w:t>连续三年聚焦普惠托育工作</w:t>
      </w:r>
      <w:r>
        <w:rPr>
          <w:rFonts w:hint="default" w:ascii="Times New Roman" w:hAnsi="Times New Roman" w:eastAsia="方正仿宋简体" w:cs="Times New Roman"/>
          <w:b/>
          <w:bCs w:val="0"/>
          <w:color w:val="auto"/>
          <w:kern w:val="21"/>
          <w:sz w:val="32"/>
          <w:szCs w:val="32"/>
        </w:rPr>
        <w:t>深入全市7个区县</w:t>
      </w:r>
      <w:r>
        <w:rPr>
          <w:rFonts w:hint="default" w:ascii="Times New Roman" w:hAnsi="Times New Roman" w:eastAsia="方正仿宋简体" w:cs="Times New Roman"/>
          <w:b/>
          <w:bCs w:val="0"/>
          <w:color w:val="auto"/>
          <w:kern w:val="21"/>
          <w:sz w:val="32"/>
          <w:szCs w:val="32"/>
          <w:lang w:val="en-US" w:eastAsia="zh-CN"/>
        </w:rPr>
        <w:t>全覆盖</w:t>
      </w:r>
      <w:r>
        <w:rPr>
          <w:rFonts w:hint="default" w:ascii="Times New Roman" w:hAnsi="Times New Roman" w:eastAsia="方正仿宋简体" w:cs="Times New Roman"/>
          <w:b/>
          <w:bCs w:val="0"/>
          <w:color w:val="auto"/>
          <w:kern w:val="21"/>
          <w:sz w:val="32"/>
          <w:szCs w:val="32"/>
        </w:rPr>
        <w:t>走访</w:t>
      </w:r>
      <w:r>
        <w:rPr>
          <w:rFonts w:hint="default" w:ascii="Times New Roman" w:hAnsi="Times New Roman" w:eastAsia="方正仿宋简体" w:cs="Times New Roman"/>
          <w:b/>
          <w:bCs w:val="0"/>
          <w:color w:val="auto"/>
          <w:kern w:val="21"/>
          <w:sz w:val="32"/>
          <w:szCs w:val="32"/>
          <w:lang w:val="en-US" w:eastAsia="zh-CN"/>
        </w:rPr>
        <w:t>调研</w:t>
      </w:r>
      <w:r>
        <w:rPr>
          <w:rFonts w:hint="default" w:ascii="Times New Roman" w:hAnsi="Times New Roman" w:eastAsia="方正仿宋简体" w:cs="Times New Roman"/>
          <w:b/>
          <w:bCs w:val="0"/>
          <w:color w:val="auto"/>
          <w:kern w:val="21"/>
          <w:sz w:val="32"/>
          <w:szCs w:val="32"/>
        </w:rPr>
        <w:t>，分别召集家长代表、托育机构代表、</w:t>
      </w:r>
      <w:r>
        <w:rPr>
          <w:rFonts w:hint="default" w:ascii="Times New Roman" w:hAnsi="Times New Roman" w:eastAsia="方正仿宋简体" w:cs="Times New Roman"/>
          <w:b/>
          <w:bCs w:val="0"/>
          <w:color w:val="auto"/>
          <w:kern w:val="21"/>
          <w:sz w:val="32"/>
          <w:szCs w:val="32"/>
          <w:lang w:eastAsia="zh-CN"/>
        </w:rPr>
        <w:t>保育</w:t>
      </w:r>
      <w:r>
        <w:rPr>
          <w:rFonts w:hint="default" w:ascii="Times New Roman" w:hAnsi="Times New Roman" w:eastAsia="方正仿宋简体" w:cs="Times New Roman"/>
          <w:b/>
          <w:bCs w:val="0"/>
          <w:color w:val="auto"/>
          <w:kern w:val="21"/>
          <w:sz w:val="32"/>
          <w:szCs w:val="32"/>
          <w:lang w:val="en-US" w:eastAsia="zh-CN"/>
        </w:rPr>
        <w:t>从业人员</w:t>
      </w:r>
      <w:r>
        <w:rPr>
          <w:rFonts w:hint="default" w:ascii="Times New Roman" w:hAnsi="Times New Roman" w:eastAsia="方正仿宋简体" w:cs="Times New Roman"/>
          <w:b/>
          <w:bCs w:val="0"/>
          <w:color w:val="auto"/>
          <w:kern w:val="21"/>
          <w:sz w:val="32"/>
          <w:szCs w:val="32"/>
          <w:lang w:eastAsia="zh-CN"/>
        </w:rPr>
        <w:t>、</w:t>
      </w:r>
      <w:r>
        <w:rPr>
          <w:rFonts w:hint="default" w:ascii="Times New Roman" w:hAnsi="Times New Roman" w:eastAsia="方正仿宋简体" w:cs="Times New Roman"/>
          <w:b/>
          <w:bCs w:val="0"/>
          <w:color w:val="auto"/>
          <w:kern w:val="21"/>
          <w:sz w:val="32"/>
          <w:szCs w:val="32"/>
        </w:rPr>
        <w:t>政府职能部门</w:t>
      </w:r>
      <w:r>
        <w:rPr>
          <w:rFonts w:hint="default" w:ascii="Times New Roman" w:hAnsi="Times New Roman" w:eastAsia="方正仿宋简体" w:cs="Times New Roman"/>
          <w:b/>
          <w:bCs w:val="0"/>
          <w:color w:val="auto"/>
          <w:kern w:val="21"/>
          <w:sz w:val="32"/>
          <w:szCs w:val="32"/>
          <w:lang w:eastAsia="zh-CN"/>
        </w:rPr>
        <w:t>及要素保障部门</w:t>
      </w:r>
      <w:r>
        <w:rPr>
          <w:rFonts w:hint="default" w:ascii="Times New Roman" w:hAnsi="Times New Roman" w:eastAsia="方正仿宋简体" w:cs="Times New Roman"/>
          <w:b/>
          <w:bCs w:val="0"/>
          <w:color w:val="auto"/>
          <w:kern w:val="21"/>
          <w:sz w:val="32"/>
          <w:szCs w:val="32"/>
        </w:rPr>
        <w:t>进行座谈，开展问卷调查</w:t>
      </w:r>
      <w:r>
        <w:rPr>
          <w:rFonts w:hint="default" w:ascii="Times New Roman" w:hAnsi="Times New Roman" w:eastAsia="方正仿宋简体" w:cs="Times New Roman"/>
          <w:b/>
          <w:bCs w:val="0"/>
          <w:color w:val="auto"/>
          <w:kern w:val="21"/>
          <w:sz w:val="32"/>
          <w:szCs w:val="32"/>
          <w:lang w:val="en"/>
        </w:rPr>
        <w:t>和考察学习</w:t>
      </w:r>
      <w:r>
        <w:rPr>
          <w:rFonts w:hint="default" w:ascii="Times New Roman" w:hAnsi="Times New Roman" w:eastAsia="方正仿宋简体" w:cs="Times New Roman"/>
          <w:b/>
          <w:bCs w:val="0"/>
          <w:color w:val="auto"/>
          <w:kern w:val="21"/>
          <w:sz w:val="32"/>
          <w:szCs w:val="32"/>
        </w:rPr>
        <w:t>，形成有分量的专题调研报告，助力政府优化思路、明确方向、完善</w:t>
      </w:r>
      <w:r>
        <w:rPr>
          <w:rFonts w:hint="default" w:ascii="Times New Roman" w:hAnsi="Times New Roman" w:eastAsia="方正仿宋简体" w:cs="Times New Roman"/>
          <w:b/>
          <w:bCs w:val="0"/>
          <w:color w:val="auto"/>
          <w:kern w:val="21"/>
          <w:sz w:val="32"/>
          <w:szCs w:val="32"/>
          <w:lang w:val="en-US" w:eastAsia="zh-CN"/>
        </w:rPr>
        <w:t>政策、优化</w:t>
      </w:r>
      <w:r>
        <w:rPr>
          <w:rFonts w:hint="default" w:ascii="Times New Roman" w:hAnsi="Times New Roman" w:eastAsia="方正仿宋简体" w:cs="Times New Roman"/>
          <w:b/>
          <w:bCs w:val="0"/>
          <w:color w:val="auto"/>
          <w:kern w:val="21"/>
          <w:sz w:val="32"/>
          <w:szCs w:val="32"/>
        </w:rPr>
        <w:t>措施。</w:t>
      </w:r>
    </w:p>
    <w:p w14:paraId="568D867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193" w:rightChars="-92" w:firstLine="643" w:firstLineChars="200"/>
        <w:textAlignment w:val="auto"/>
        <w:rPr>
          <w:rFonts w:hint="default" w:ascii="Times New Roman" w:hAnsi="Times New Roman" w:eastAsia="方正楷体简体" w:cs="Times New Roman"/>
          <w:b/>
          <w:bCs w:val="0"/>
          <w:color w:val="auto"/>
          <w:sz w:val="32"/>
          <w:lang w:val="en-US"/>
        </w:rPr>
      </w:pPr>
      <w:r>
        <w:rPr>
          <w:rFonts w:hint="default" w:ascii="Times New Roman" w:hAnsi="Times New Roman" w:eastAsia="方正楷体简体" w:cs="Times New Roman"/>
          <w:b/>
          <w:bCs w:val="0"/>
          <w:color w:val="auto"/>
          <w:sz w:val="32"/>
          <w:lang w:val="en" w:eastAsia="zh-CN"/>
        </w:rPr>
        <w:t>（</w:t>
      </w:r>
      <w:r>
        <w:rPr>
          <w:rFonts w:hint="default" w:ascii="Times New Roman" w:hAnsi="Times New Roman" w:eastAsia="方正楷体简体" w:cs="Times New Roman"/>
          <w:b/>
          <w:bCs w:val="0"/>
          <w:color w:val="auto"/>
          <w:sz w:val="32"/>
          <w:lang w:val="en-US" w:eastAsia="zh-CN"/>
        </w:rPr>
        <w:t>四）</w:t>
      </w:r>
      <w:r>
        <w:rPr>
          <w:rFonts w:hint="default" w:ascii="Times New Roman" w:hAnsi="Times New Roman" w:eastAsia="方正楷体简体" w:cs="Times New Roman"/>
          <w:b/>
          <w:bCs w:val="0"/>
          <w:color w:val="auto"/>
          <w:sz w:val="32"/>
          <w:lang w:val="en"/>
        </w:rPr>
        <w:t>主动参与</w:t>
      </w:r>
      <w:r>
        <w:rPr>
          <w:rFonts w:hint="default" w:ascii="Times New Roman" w:hAnsi="Times New Roman" w:eastAsia="方正楷体简体" w:cs="Times New Roman"/>
          <w:b/>
          <w:bCs w:val="0"/>
          <w:color w:val="auto"/>
          <w:sz w:val="32"/>
        </w:rPr>
        <w:t>是</w:t>
      </w:r>
      <w:r>
        <w:rPr>
          <w:rFonts w:hint="default" w:ascii="Times New Roman" w:hAnsi="Times New Roman" w:eastAsia="方正楷体简体" w:cs="Times New Roman"/>
          <w:b/>
          <w:bCs w:val="0"/>
          <w:color w:val="auto"/>
          <w:sz w:val="32"/>
          <w:lang w:val="en-US" w:eastAsia="zh-CN"/>
        </w:rPr>
        <w:t>助推工作</w:t>
      </w:r>
      <w:r>
        <w:rPr>
          <w:rFonts w:hint="default" w:ascii="Times New Roman" w:hAnsi="Times New Roman" w:eastAsia="方正楷体简体" w:cs="Times New Roman"/>
          <w:b/>
          <w:bCs w:val="0"/>
          <w:color w:val="auto"/>
          <w:sz w:val="32"/>
        </w:rPr>
        <w:t>的</w:t>
      </w:r>
      <w:r>
        <w:rPr>
          <w:rFonts w:hint="default" w:ascii="Times New Roman" w:hAnsi="Times New Roman" w:eastAsia="方正楷体简体" w:cs="Times New Roman"/>
          <w:b/>
          <w:bCs w:val="0"/>
          <w:color w:val="auto"/>
          <w:sz w:val="32"/>
          <w:lang w:eastAsia="zh-CN"/>
        </w:rPr>
        <w:t>重要</w:t>
      </w:r>
      <w:r>
        <w:rPr>
          <w:rFonts w:hint="default" w:ascii="Times New Roman" w:hAnsi="Times New Roman" w:eastAsia="方正楷体简体" w:cs="Times New Roman"/>
          <w:b/>
          <w:bCs w:val="0"/>
          <w:color w:val="auto"/>
          <w:sz w:val="32"/>
          <w:lang w:val="en-US" w:eastAsia="zh-CN"/>
        </w:rPr>
        <w:t>体现</w:t>
      </w:r>
    </w:p>
    <w:p w14:paraId="2D52C031">
      <w:pPr>
        <w:pStyle w:val="28"/>
        <w:keepNext w:val="0"/>
        <w:keepLines w:val="0"/>
        <w:pageBreakBefore w:val="0"/>
        <w:widowControl w:val="0"/>
        <w:kinsoku/>
        <w:wordWrap/>
        <w:overflowPunct/>
        <w:topLinePunct w:val="0"/>
        <w:autoSpaceDE/>
        <w:autoSpaceDN/>
        <w:bidi w:val="0"/>
        <w:spacing w:line="580" w:lineRule="exact"/>
        <w:ind w:left="0" w:leftChars="0" w:firstLine="0" w:firstLineChars="0"/>
        <w:textAlignment w:val="auto"/>
        <w:rPr>
          <w:rFonts w:hint="default" w:ascii="Times New Roman" w:hAnsi="Times New Roman" w:eastAsia="方正仿宋简体" w:cs="Times New Roman"/>
          <w:b/>
          <w:bCs w:val="0"/>
          <w:color w:val="auto"/>
          <w:kern w:val="2"/>
          <w:sz w:val="32"/>
          <w:szCs w:val="32"/>
          <w:lang w:val="en" w:eastAsia="zh-CN" w:bidi="ar-SA"/>
        </w:rPr>
      </w:pPr>
      <w:r>
        <w:rPr>
          <w:rFonts w:hint="default" w:ascii="Times New Roman" w:hAnsi="Times New Roman" w:eastAsia="方正仿宋简体" w:cs="Times New Roman"/>
          <w:b/>
          <w:bCs w:val="0"/>
          <w:color w:val="auto"/>
          <w:sz w:val="32"/>
          <w:szCs w:val="36"/>
          <w:lang w:val="en-US" w:eastAsia="zh-CN"/>
        </w:rPr>
        <w:t xml:space="preserve">    </w:t>
      </w:r>
      <w:r>
        <w:rPr>
          <w:rFonts w:hint="default" w:ascii="Times New Roman" w:hAnsi="Times New Roman" w:eastAsia="方正仿宋简体" w:cs="Times New Roman"/>
          <w:b/>
          <w:bCs w:val="0"/>
          <w:color w:val="auto"/>
          <w:kern w:val="2"/>
          <w:sz w:val="32"/>
          <w:szCs w:val="32"/>
          <w:lang w:val="en-US" w:eastAsia="zh-CN" w:bidi="ar-SA"/>
        </w:rPr>
        <w:t>泸州市人大常委会始终靠前监督、深度介入、主动作为，坚持“深入调研、协同推进、寻求突破、加强监督”的助推工作方向，强化目标导向、问题导向和需求导向，强化统筹协调，推动政策梳理，深入调查研究，会商试点机制，督促任务分解，丰富办托路径，聚焦难点堵点，跟踪督促整改，推进示范带动，紧盯顶层设计、示范推进、监管服务和发展规划，助力泸州普惠托育工作走在了全省全国先进行列。</w:t>
      </w:r>
    </w:p>
    <w:p w14:paraId="2590FD22">
      <w:pPr>
        <w:pStyle w:val="12"/>
        <w:keepNext w:val="0"/>
        <w:keepLines w:val="0"/>
        <w:pageBreakBefore w:val="0"/>
        <w:widowControl w:val="0"/>
        <w:shd w:val="clear"/>
        <w:tabs>
          <w:tab w:val="left" w:pos="7655"/>
        </w:tabs>
        <w:kinsoku/>
        <w:wordWrap/>
        <w:overflowPunct/>
        <w:topLinePunct w:val="0"/>
        <w:autoSpaceDE/>
        <w:autoSpaceDN/>
        <w:bidi w:val="0"/>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highlight w:val="none"/>
          <w:lang w:val="en"/>
        </w:rPr>
      </w:pPr>
    </w:p>
    <w:p w14:paraId="1367C319">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z w:val="32"/>
          <w:szCs w:val="32"/>
          <w:highlight w:val="none"/>
          <w:lang w:val="en"/>
        </w:rPr>
      </w:pPr>
      <w:r>
        <w:rPr>
          <w:rFonts w:hint="default" w:ascii="Times New Roman" w:hAnsi="Times New Roman" w:eastAsia="方正仿宋简体" w:cs="Times New Roman"/>
          <w:b/>
          <w:bCs w:val="0"/>
          <w:color w:val="auto"/>
          <w:sz w:val="32"/>
          <w:szCs w:val="32"/>
          <w:highlight w:val="none"/>
          <w:lang w:val="en"/>
        </w:rPr>
        <w:br w:type="page"/>
      </w:r>
    </w:p>
    <w:p w14:paraId="1CA026D7">
      <w:pPr>
        <w:pStyle w:val="12"/>
        <w:keepNext w:val="0"/>
        <w:keepLines w:val="0"/>
        <w:pageBreakBefore w:val="0"/>
        <w:widowControl w:val="0"/>
        <w:shd w:val="clear"/>
        <w:tabs>
          <w:tab w:val="left" w:pos="7655"/>
        </w:tabs>
        <w:kinsoku/>
        <w:wordWrap/>
        <w:overflowPunct/>
        <w:topLinePunct w:val="0"/>
        <w:autoSpaceDE/>
        <w:autoSpaceDN/>
        <w:bidi w:val="0"/>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highlight w:val="none"/>
          <w:lang w:val="en"/>
        </w:rPr>
      </w:pPr>
    </w:p>
    <w:p w14:paraId="03B113DA">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4" w:name="_Toc7439"/>
      <w:r>
        <w:rPr>
          <w:rFonts w:hint="default" w:ascii="Times New Roman" w:hAnsi="Times New Roman" w:eastAsia="方正小标宋简体" w:cs="Times New Roman"/>
          <w:b/>
          <w:bCs w:val="0"/>
          <w:color w:val="auto"/>
          <w:highlight w:val="none"/>
          <w:lang w:val="en-US" w:eastAsia="zh-CN"/>
        </w:rPr>
        <w:t>立法“小切口”，保护年画“大管用”</w:t>
      </w:r>
      <w:bookmarkEnd w:id="4"/>
    </w:p>
    <w:p w14:paraId="4883AB49">
      <w:pPr>
        <w:pStyle w:val="18"/>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40" w:lineRule="exact"/>
        <w:jc w:val="center"/>
        <w:textAlignment w:val="auto"/>
        <w:rPr>
          <w:rFonts w:hint="default" w:ascii="Times New Roman" w:hAnsi="Times New Roman" w:eastAsia="方正楷体简体" w:cs="Times New Roman"/>
          <w:b/>
          <w:bCs w:val="0"/>
          <w:color w:val="auto"/>
          <w:kern w:val="2"/>
          <w:sz w:val="32"/>
          <w:szCs w:val="32"/>
          <w:highlight w:val="none"/>
          <w:lang w:val="en-US" w:eastAsia="zh-CN" w:bidi="ar-SA"/>
        </w:rPr>
      </w:pPr>
      <w:r>
        <w:rPr>
          <w:rFonts w:hint="default" w:ascii="Times New Roman" w:hAnsi="Times New Roman" w:eastAsia="方正楷体简体" w:cs="Times New Roman"/>
          <w:b/>
          <w:bCs w:val="0"/>
          <w:color w:val="auto"/>
          <w:kern w:val="2"/>
          <w:sz w:val="32"/>
          <w:szCs w:val="32"/>
          <w:highlight w:val="none"/>
          <w:lang w:val="en-US" w:eastAsia="zh-CN" w:bidi="ar-SA"/>
        </w:rPr>
        <w:t>德阳市人大常委会</w:t>
      </w:r>
    </w:p>
    <w:p w14:paraId="20D5CFA8">
      <w:pPr>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val="0"/>
          <w:i w:val="0"/>
          <w:iCs w:val="0"/>
          <w:color w:val="auto"/>
          <w:sz w:val="32"/>
          <w:szCs w:val="32"/>
          <w:highlight w:val="none"/>
          <w:u w:val="none"/>
          <w:lang w:val="en-US" w:eastAsia="zh-CN"/>
        </w:rPr>
      </w:pPr>
    </w:p>
    <w:p w14:paraId="4D22101B">
      <w:pPr>
        <w:keepLines w:val="0"/>
        <w:pageBreakBefore w:val="0"/>
        <w:kinsoku/>
        <w:wordWrap/>
        <w:topLinePunct w:val="0"/>
        <w:autoSpaceDE/>
        <w:autoSpaceDN/>
        <w:bidi w:val="0"/>
        <w:spacing w:line="580" w:lineRule="exact"/>
        <w:jc w:val="center"/>
        <w:rPr>
          <w:rFonts w:hint="default" w:ascii="Times New Roman" w:hAnsi="Times New Roman" w:eastAsia="方正黑体简体" w:cs="Times New Roman"/>
          <w:b/>
          <w:bCs w:val="0"/>
          <w:color w:val="auto"/>
          <w:sz w:val="32"/>
          <w:szCs w:val="32"/>
        </w:rPr>
      </w:pPr>
      <w:r>
        <w:rPr>
          <w:rFonts w:hint="default" w:ascii="Times New Roman" w:hAnsi="Times New Roman" w:eastAsia="方正黑体简体" w:cs="Times New Roman"/>
          <w:b/>
          <w:bCs w:val="0"/>
          <w:color w:val="auto"/>
          <w:sz w:val="32"/>
          <w:szCs w:val="32"/>
        </w:rPr>
        <w:t>案例背景</w:t>
      </w:r>
    </w:p>
    <w:p w14:paraId="1195C036">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四川绵竹年画即绵竹木版年画，始于宋代，盛于明清，被誉为“中国四大年画”之一，是德阳国家级非物质文化遗产代表性项目，其作品通过起稿、刻版、印线、施彩、印花、拓墨等工序完成，多以弘扬家国文化为主题，在艺术构思上反映了人民对生活特有的理解方式，有着实用性和情节性并重的特点。近年来，随着新时代德阳文化建设不断推进，我市对绵竹年画的保护工作进一步加强。但是，随着绵竹年画技艺传承与保护、年画产业发展、年画人才培育工作的不断推进，其面临的多样性矛盾和潜在风险日益突出。为加强对绵竹年画“濒危”状态的保护，构建以“传承”为核心的绵竹年画保护体系，打造以“融合”为趋势的古蜀文化特色品牌，德阳市人大常委会积极探索绵竹年画传承保护立法工作。《德阳市绵竹年画保护条例》（以下简称《条例》）施行以来，促进了传统技艺保护传承，提振了行业文化自信，体现了“良法善治”的立法初衷，取得了立法“小切口”、施行“大管用”的积极成效。</w:t>
      </w:r>
    </w:p>
    <w:p w14:paraId="579BC8B5">
      <w:pPr>
        <w:keepLines w:val="0"/>
        <w:pageBreakBefore w:val="0"/>
        <w:kinsoku/>
        <w:wordWrap/>
        <w:topLinePunct w:val="0"/>
        <w:autoSpaceDE/>
        <w:autoSpaceDN/>
        <w:bidi w:val="0"/>
        <w:spacing w:line="580" w:lineRule="exact"/>
        <w:jc w:val="center"/>
        <w:rPr>
          <w:rFonts w:hint="default" w:ascii="Times New Roman" w:hAnsi="Times New Roman" w:eastAsia="方正黑体简体" w:cs="Times New Roman"/>
          <w:b/>
          <w:bCs w:val="0"/>
          <w:color w:val="auto"/>
          <w:sz w:val="32"/>
          <w:szCs w:val="32"/>
        </w:rPr>
      </w:pPr>
    </w:p>
    <w:p w14:paraId="7BDA67E3">
      <w:pPr>
        <w:keepLines w:val="0"/>
        <w:pageBreakBefore w:val="0"/>
        <w:kinsoku/>
        <w:wordWrap/>
        <w:topLinePunct w:val="0"/>
        <w:autoSpaceDE/>
        <w:autoSpaceDN/>
        <w:bidi w:val="0"/>
        <w:spacing w:line="580" w:lineRule="exact"/>
        <w:jc w:val="center"/>
        <w:rPr>
          <w:rFonts w:hint="default" w:ascii="Times New Roman" w:hAnsi="Times New Roman" w:eastAsia="方正黑体简体" w:cs="Times New Roman"/>
          <w:b/>
          <w:bCs w:val="0"/>
          <w:color w:val="auto"/>
          <w:sz w:val="32"/>
          <w:szCs w:val="32"/>
        </w:rPr>
      </w:pPr>
      <w:r>
        <w:rPr>
          <w:rFonts w:hint="default" w:ascii="Times New Roman" w:hAnsi="Times New Roman" w:eastAsia="方正黑体简体" w:cs="Times New Roman"/>
          <w:b/>
          <w:bCs w:val="0"/>
          <w:color w:val="auto"/>
          <w:sz w:val="32"/>
          <w:szCs w:val="32"/>
        </w:rPr>
        <w:t>主要做法</w:t>
      </w:r>
      <w:r>
        <w:rPr>
          <w:rFonts w:hint="default" w:ascii="Times New Roman" w:hAnsi="Times New Roman" w:eastAsia="方正黑体简体" w:cs="Times New Roman"/>
          <w:b/>
          <w:bCs w:val="0"/>
          <w:color w:val="auto"/>
          <w:sz w:val="32"/>
          <w:szCs w:val="32"/>
          <w:lang w:eastAsia="zh-CN"/>
        </w:rPr>
        <w:t>和</w:t>
      </w:r>
      <w:r>
        <w:rPr>
          <w:rFonts w:hint="default" w:ascii="Times New Roman" w:hAnsi="Times New Roman" w:eastAsia="方正黑体简体" w:cs="Times New Roman"/>
          <w:b/>
          <w:bCs w:val="0"/>
          <w:color w:val="auto"/>
          <w:sz w:val="32"/>
          <w:szCs w:val="32"/>
        </w:rPr>
        <w:t>成效</w:t>
      </w:r>
    </w:p>
    <w:p w14:paraId="6A5824BC">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（一）从“事”到“法”，凝聚立法共识。</w:t>
      </w:r>
      <w:r>
        <w:rPr>
          <w:rFonts w:hint="default" w:ascii="Times New Roman" w:hAnsi="Times New Roman" w:eastAsia="方正仿宋简体" w:cs="Times New Roman"/>
          <w:b/>
          <w:bCs w:val="0"/>
          <w:color w:val="auto"/>
          <w:sz w:val="32"/>
          <w:szCs w:val="32"/>
        </w:rPr>
        <w:t>绵竹年画是优秀传统文化的重要载体和表现形式，对传承中华民族优秀文化，培育和践行社会主义核心价值观，具有重要的引导作用。随着社会现代化进程的加快和外来文化的冲击，绵竹年画陷入“濒危”风险，亟待用法治的刚性约束来抢救、保护、利用、传承。非物质文化遗产保护主要体现在“活态传承”上，要使绵竹年画转化为大众教育、人文素养的现实资源，需要将实践中行之有效的保护措施上升为地方性法规具体条文，注重传承，形成保护、传承、发展的制度体系。同时，绵竹年画具有凸显古蜀文化“绘画性强”的显著特点，在文化旅游产业融合发展的大背景下，积极寻求优秀文化传统与现代文化精神的契合点，打造具有古蜀特色的优秀传统文化品牌是大势所趋。德阳市人大常委会以“既保护传统又推动传承，既激活市场又规范发展”为目标，经过广泛调研、听取各方意见，认为制定针对绵竹年画保护的地方性法规，对年画的抢救、保护、利用、传承予以法治的刚性约束，既能有助于改善其“濒危”的现状，构建以“传承”为核心的保护体系，更有助于打造以“融合”为趋势的古蜀文化特色品牌，绵竹年画保护立法势在必行。</w:t>
      </w:r>
    </w:p>
    <w:p w14:paraId="5DD38364">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（二）从“法”到“治”，立足解决问题。</w:t>
      </w:r>
      <w:r>
        <w:rPr>
          <w:rFonts w:hint="default" w:ascii="Times New Roman" w:hAnsi="Times New Roman" w:eastAsia="方正仿宋简体" w:cs="Times New Roman"/>
          <w:b/>
          <w:bCs w:val="0"/>
          <w:color w:val="auto"/>
          <w:sz w:val="32"/>
          <w:szCs w:val="32"/>
        </w:rPr>
        <w:t>经过两年多时间的酝酿、打磨，《条例》经德阳市八届人大常委会第二十四次会议表决通过，并于当年9月26日经四川省十三届人大常委会第十三次会议全票批准通过。《条例》体量“精致”，仅有5章、28条、3600字，深深根植于本土人文传统，突出“精、特、实”，立足解决实际问题，实现依法治理、“真管用”的现实需求。针对保护对象，《条例》第3条、第8条分别列举了绵竹年画需要保护的相关资源范围，规定了建立绵竹年画保护目录的制度和评审程序。《条例》规定了绵竹年画衍生品保护目录制度，将具有重大创新、传播价值的绵竹年画衍生品纳入保护目录予以保护，使保护对象更明确，措施更具体。围绕如何保护，《条例》第5条规定德阳市、绵竹市人民政府应当设立绵竹年画保护专项资金，并列入本级预算予以保障，为年画保护、传承推广和传播利用等确保了资金支持；第20条创新性地设立了绵竹年画“工匠认定制度”，鼓励培养相关人才，推动形成绵竹年画梯级传承队伍。《条例》着眼实际，极大提振了行业发展信心，绵竹年画博物馆完成年画资源调查和国、省级传承人年画技艺的抢救性保护记录，建立绵竹年画数字化档案，引进高层次非遗传承人才被列入政府计划，与川大等高校联合举办年画研修班培训师资人才，年画从业人员感受到前所未有的重视和尊重。</w:t>
      </w:r>
    </w:p>
    <w:p w14:paraId="30D46EDF">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（三）从“治”到“效”，注重施行效果。《</w:t>
      </w:r>
      <w:r>
        <w:rPr>
          <w:rFonts w:hint="default" w:ascii="Times New Roman" w:hAnsi="Times New Roman" w:eastAsia="方正仿宋简体" w:cs="Times New Roman"/>
          <w:b/>
          <w:bCs w:val="0"/>
          <w:color w:val="auto"/>
          <w:sz w:val="32"/>
          <w:szCs w:val="32"/>
        </w:rPr>
        <w:t>条例</w:t>
      </w:r>
      <w:r>
        <w:rPr>
          <w:rFonts w:hint="default" w:ascii="Times New Roman" w:hAnsi="Times New Roman" w:eastAsia="方正楷体简体" w:cs="Times New Roman"/>
          <w:b/>
          <w:bCs w:val="0"/>
          <w:color w:val="auto"/>
          <w:sz w:val="32"/>
          <w:szCs w:val="32"/>
        </w:rPr>
        <w:t>》</w:t>
      </w:r>
      <w:r>
        <w:rPr>
          <w:rFonts w:hint="default" w:ascii="Times New Roman" w:hAnsi="Times New Roman" w:eastAsia="方正仿宋简体" w:cs="Times New Roman"/>
          <w:b/>
          <w:bCs w:val="0"/>
          <w:color w:val="auto"/>
          <w:sz w:val="32"/>
          <w:szCs w:val="32"/>
        </w:rPr>
        <w:t>正式施行后，市人大常委会更加重视法规的实施情况，依法履行监督职责，推动各方依法共治。比如，将该法规列入“宪法宣传日”内容；通过执法检查、视察等形式开展立法工作“回头看”；督促政府有关部门依据《条例》有关要求制定配套政策；督促财政部门依法建立绵竹年画保护专项资金预算；督促将绵竹年画基础设施建设纳入“十四五”规划项目库等。经过系列监督举措，《条例》施行成效可喜。在全国年画行业中具有示范效应，国家文旅部非遗司给予高度评价和肯定，绵竹市代表四川省在全国非遗保护大会上作《&lt;德阳市绵竹年画保护条例&gt;立法工作及绵竹非遗保护工作》发言。绵竹年画扩展效应增强，以年画释法、借年画宣传公益成为时尚，中央文明办、中省两级纪委等采用绵竹公益年画。新冠疫情防控系列宣传年画被新华社、央视新闻、人民网、文旅中国、学习强国平台、川报观察等各大媒体采用报道，年画非遗技艺和作品参展2020年第三届中国国际进口博览会。地方名片更加亮丽，年画村获“首批国家级乡村旅游示范村”称号，中华年俗村入选“四川省文旅融合示范项目”，《绵竹年画》教材被评为四川省中小学中华文化优秀校本课程读本。</w:t>
      </w:r>
    </w:p>
    <w:p w14:paraId="340E90E9">
      <w:pPr>
        <w:keepLines w:val="0"/>
        <w:pageBreakBefore w:val="0"/>
        <w:kinsoku/>
        <w:wordWrap/>
        <w:topLinePunct w:val="0"/>
        <w:autoSpaceDE/>
        <w:autoSpaceDN/>
        <w:bidi w:val="0"/>
        <w:spacing w:line="580" w:lineRule="exact"/>
        <w:rPr>
          <w:rFonts w:hint="default" w:ascii="Times New Roman" w:hAnsi="Times New Roman" w:eastAsia="方正黑体简体" w:cs="Times New Roman"/>
          <w:b/>
          <w:bCs w:val="0"/>
          <w:color w:val="auto"/>
          <w:sz w:val="32"/>
          <w:szCs w:val="32"/>
        </w:rPr>
      </w:pPr>
    </w:p>
    <w:p w14:paraId="1009F66F">
      <w:pPr>
        <w:keepLines w:val="0"/>
        <w:pageBreakBefore w:val="0"/>
        <w:kinsoku/>
        <w:wordWrap/>
        <w:overflowPunct w:val="0"/>
        <w:topLinePunct w:val="0"/>
        <w:autoSpaceDE/>
        <w:autoSpaceDN/>
        <w:bidi w:val="0"/>
        <w:spacing w:line="580" w:lineRule="exact"/>
        <w:jc w:val="center"/>
        <w:rPr>
          <w:rFonts w:hint="default" w:ascii="Times New Roman" w:hAnsi="Times New Roman" w:eastAsia="方正黑体简体" w:cs="Times New Roman"/>
          <w:b/>
          <w:bCs w:val="0"/>
          <w:color w:val="auto"/>
          <w:kern w:val="44"/>
          <w:sz w:val="32"/>
          <w:szCs w:val="44"/>
        </w:rPr>
      </w:pPr>
      <w:r>
        <w:rPr>
          <w:rFonts w:hint="default" w:ascii="Times New Roman" w:hAnsi="Times New Roman" w:eastAsia="方正黑体简体" w:cs="Times New Roman"/>
          <w:b/>
          <w:bCs w:val="0"/>
          <w:color w:val="auto"/>
          <w:kern w:val="44"/>
          <w:sz w:val="32"/>
          <w:szCs w:val="44"/>
        </w:rPr>
        <w:t>思考和启发</w:t>
      </w:r>
    </w:p>
    <w:p w14:paraId="4E15C235">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（一）要严格落实党领导立法原则，确保地方立法“立得好”。</w:t>
      </w:r>
      <w:r>
        <w:rPr>
          <w:rFonts w:hint="default" w:ascii="Times New Roman" w:hAnsi="Times New Roman" w:eastAsia="方正仿宋简体" w:cs="Times New Roman"/>
          <w:b/>
          <w:bCs w:val="0"/>
          <w:color w:val="auto"/>
          <w:sz w:val="32"/>
          <w:szCs w:val="32"/>
        </w:rPr>
        <w:t>习总书记指出，“越是强调法治，越是要提高立法质量。”《条例》立法政治站位明确，从提出立法计划到审议通过，市委始终加强领导。立法选题时，市委常委会议强调，《条例》不求大而全，关键要有质量，特别要突出特色和管用。市人大常委会牵头，相关各方深入基层集中共识，拓展视野广泛借鉴，问题导向有的放矢。《条例》在省人大常委会审议得到好评并全票通过。</w:t>
      </w:r>
    </w:p>
    <w:p w14:paraId="42C51B5B">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（二）要立足解决实际问题，确保地方立法“切得准”。</w:t>
      </w:r>
      <w:r>
        <w:rPr>
          <w:rFonts w:hint="default" w:ascii="Times New Roman" w:hAnsi="Times New Roman" w:eastAsia="方正仿宋简体" w:cs="Times New Roman"/>
          <w:b/>
          <w:bCs w:val="0"/>
          <w:color w:val="auto"/>
          <w:sz w:val="32"/>
          <w:szCs w:val="32"/>
        </w:rPr>
        <w:t>习总书记指出，“人民群众对立法的期盼，已经不是有没有，而是好不好、管用不管用、能不能解决实际问题”。面对非遗持续传承的核心症结，市人大常委会深研细酌，创建了“工匠制度”（《德阳市绵竹年画保护条例》第20条），明确了工匠评选及考核激励机制，在全国率先以立法方式破解年画非遗保护的核心难题，顺应了行业呼声，推动了非遗传承。</w:t>
      </w:r>
    </w:p>
    <w:p w14:paraId="54FF1D4A">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（三）要注重依法治理，确保良法“能善治”。</w:t>
      </w:r>
      <w:r>
        <w:rPr>
          <w:rFonts w:hint="default" w:ascii="Times New Roman" w:hAnsi="Times New Roman" w:eastAsia="方正仿宋简体" w:cs="Times New Roman"/>
          <w:b/>
          <w:bCs w:val="0"/>
          <w:color w:val="auto"/>
          <w:sz w:val="32"/>
          <w:szCs w:val="32"/>
        </w:rPr>
        <w:t>“徒法不足以自行”。良法能否善治，考验的是基层治理能力。市人大常委会依法督促政府有关部门按照《条例》制定《绵竹年画保护专项资金管理办法》《绵竹年画保护目录评审工作规则》《绵竹年画工匠评选认定办法》三个配套政策，坚持落实年画保护各项工作有法可循，与条例共同搭建起年画保护的“四梁八柱”，推动年画保护法治化、规范化、程序化。</w:t>
      </w:r>
    </w:p>
    <w:p w14:paraId="74CB9814">
      <w:pPr>
        <w:keepLines w:val="0"/>
        <w:pageBreakBefore w:val="0"/>
        <w:shd w:val="clear"/>
        <w:kinsoku/>
        <w:wordWrap/>
        <w:topLinePunct w:val="0"/>
        <w:autoSpaceDE/>
        <w:autoSpaceDN/>
        <w:bidi w:val="0"/>
        <w:rPr>
          <w:rFonts w:hint="default" w:ascii="Times New Roman" w:hAnsi="Times New Roman" w:eastAsia="方正仿宋简体" w:cs="Times New Roman"/>
          <w:b/>
          <w:bCs w:val="0"/>
          <w:i w:val="0"/>
          <w:iCs w:val="0"/>
          <w:color w:val="auto"/>
          <w:sz w:val="32"/>
          <w:szCs w:val="32"/>
          <w:highlight w:val="none"/>
          <w:u w:val="none"/>
          <w:lang w:val="en-US" w:eastAsia="zh-CN"/>
        </w:rPr>
      </w:pPr>
      <w:r>
        <w:rPr>
          <w:rFonts w:hint="default" w:ascii="Times New Roman" w:hAnsi="Times New Roman" w:eastAsia="方正仿宋简体" w:cs="Times New Roman"/>
          <w:b/>
          <w:bCs w:val="0"/>
          <w:i w:val="0"/>
          <w:iCs w:val="0"/>
          <w:color w:val="auto"/>
          <w:sz w:val="32"/>
          <w:szCs w:val="32"/>
          <w:highlight w:val="none"/>
          <w:u w:val="none"/>
          <w:lang w:val="en-US" w:eastAsia="zh-CN"/>
        </w:rPr>
        <w:br w:type="page"/>
      </w:r>
    </w:p>
    <w:p w14:paraId="5249A4B8">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i w:val="0"/>
          <w:iCs w:val="0"/>
          <w:color w:val="auto"/>
          <w:sz w:val="32"/>
          <w:szCs w:val="32"/>
          <w:highlight w:val="none"/>
          <w:u w:val="none"/>
          <w:lang w:val="en-US" w:eastAsia="zh-CN"/>
        </w:rPr>
      </w:pPr>
    </w:p>
    <w:p w14:paraId="6806B339">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5" w:name="_Toc21908"/>
      <w:bookmarkStart w:id="6" w:name="_Hlk81988610"/>
      <w:r>
        <w:rPr>
          <w:rFonts w:hint="default" w:ascii="Times New Roman" w:hAnsi="Times New Roman" w:eastAsia="方正小标宋简体" w:cs="Times New Roman"/>
          <w:b/>
          <w:bCs w:val="0"/>
          <w:color w:val="auto"/>
          <w:highlight w:val="none"/>
          <w:lang w:val="en-US" w:eastAsia="zh-CN"/>
        </w:rPr>
        <w:t>巩固创卫成果  建设美丽内江</w:t>
      </w:r>
      <w:bookmarkEnd w:id="5"/>
    </w:p>
    <w:p w14:paraId="580BC9D0">
      <w:pPr>
        <w:keepNext w:val="0"/>
        <w:keepLines w:val="0"/>
        <w:pageBreakBefore w:val="0"/>
        <w:widowControl w:val="0"/>
        <w:shd w:val="clear"/>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w:t>
      </w:r>
      <w:r>
        <w:rPr>
          <w:rFonts w:hint="default" w:ascii="Times New Roman" w:hAnsi="Times New Roman" w:eastAsia="方正楷体简体" w:cs="Times New Roman"/>
          <w:b/>
          <w:bCs w:val="0"/>
          <w:color w:val="auto"/>
          <w:sz w:val="32"/>
          <w:szCs w:val="32"/>
          <w:lang w:val="en-US" w:eastAsia="zh-CN"/>
        </w:rPr>
        <w:t>内江市人大常委会助推全市国家卫生城市创建长效机制运行工作的实践与启示</w:t>
      </w:r>
    </w:p>
    <w:p w14:paraId="47A94AB8">
      <w:pPr>
        <w:keepNext w:val="0"/>
        <w:keepLines w:val="0"/>
        <w:pageBreakBefore w:val="0"/>
        <w:widowControl w:val="0"/>
        <w:shd w:val="clear"/>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内江市人大常委会</w:t>
      </w:r>
    </w:p>
    <w:p w14:paraId="5CF10499">
      <w:pPr>
        <w:keepNext w:val="0"/>
        <w:keepLines w:val="0"/>
        <w:pageBreakBefore w:val="0"/>
        <w:widowControl w:val="0"/>
        <w:shd w:val="clear"/>
        <w:suppressAutoHyphens/>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CESI仿宋-GB2312" w:cs="Times New Roman"/>
          <w:b/>
          <w:bCs w:val="0"/>
          <w:snapToGrid w:val="0"/>
          <w:color w:val="auto"/>
          <w:kern w:val="0"/>
          <w:sz w:val="32"/>
          <w:szCs w:val="32"/>
          <w:lang w:eastAsia="ar-SA"/>
        </w:rPr>
      </w:pPr>
    </w:p>
    <w:bookmarkEnd w:id="6"/>
    <w:p w14:paraId="00DE0FD9">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73119E7B">
      <w:pPr>
        <w:keepNext w:val="0"/>
        <w:keepLines w:val="0"/>
        <w:pageBreakBefore w:val="0"/>
        <w:widowControl w:val="0"/>
        <w:shd w:val="clear"/>
        <w:tabs>
          <w:tab w:val="left" w:pos="6510"/>
        </w:tabs>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仿宋简体" w:cs="Times New Roman"/>
          <w:b/>
          <w:bCs w:val="0"/>
          <w:snapToGrid w:val="0"/>
          <w:color w:val="auto"/>
          <w:kern w:val="0"/>
          <w:sz w:val="32"/>
          <w:szCs w:val="32"/>
          <w:lang w:val="en-US" w:eastAsia="zh-CN"/>
        </w:rPr>
        <w:t>内江市深入贯彻落实习近平总书记关于开展爱国卫生运动的重要论述，加快城市基础设施建设，加强城市管理，改善人居环境，提升城市品质，成功创建“国家卫生城市”。创建成功后，内江市委高度重视巩固国家卫生城市工作，市人大常委会紧紧围绕市委决策部署，充分发挥自身密切联系群众优势，紧盯薄弱环节，深入基层开展调研，广泛收集社情民意，帮助查找困难问题，立法助力城市品质提升，将巩固国家卫生城市成果纳入重点监督内容，助推长效机制落地落实。</w:t>
      </w:r>
    </w:p>
    <w:p w14:paraId="27731BF1">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黑体简体" w:cs="Times New Roman"/>
          <w:b/>
          <w:bCs w:val="0"/>
          <w:snapToGrid w:val="0"/>
          <w:color w:val="auto"/>
          <w:kern w:val="0"/>
          <w:sz w:val="32"/>
          <w:szCs w:val="32"/>
          <w:lang w:eastAsia="zh-CN"/>
        </w:rPr>
      </w:pPr>
    </w:p>
    <w:p w14:paraId="4A3A524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22586074">
      <w:pPr>
        <w:keepNext w:val="0"/>
        <w:keepLines w:val="0"/>
        <w:pageBreakBefore w:val="0"/>
        <w:widowControl w:val="0"/>
        <w:shd w:val="clear"/>
        <w:tabs>
          <w:tab w:val="left" w:pos="6510"/>
        </w:tabs>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US" w:eastAsia="zh-CN"/>
        </w:rPr>
        <w:t>（一）坚持“小切口”立法，强化法治保障。</w:t>
      </w:r>
      <w:r>
        <w:rPr>
          <w:rFonts w:hint="default" w:ascii="Times New Roman" w:hAnsi="Times New Roman" w:eastAsia="方正仿宋简体" w:cs="Times New Roman"/>
          <w:b/>
          <w:bCs w:val="0"/>
          <w:snapToGrid w:val="0"/>
          <w:color w:val="auto"/>
          <w:kern w:val="0"/>
          <w:sz w:val="32"/>
          <w:szCs w:val="32"/>
          <w:lang w:val="en-US" w:eastAsia="zh-CN"/>
        </w:rPr>
        <w:t>成功创建国家卫生城市后，内江市人大常委会充分发挥立法的引领和推动作用，围绕实现国家卫生城市长效治理，聚焦提升城市文化品位，选择加强城市管理、生态环境改善、创优市场环境、优化卫生服务体系的“小切口”作为立法重点，在广泛征求意见、深入调研论证的基础上，2021年以来，先后制定出台《内江市文明行为促进条例》《内江市海绵城市建设管理条例》《内江市生活垃圾管理条例》3部地方性法规，新修订《内江市甜城湖保护条例》，2024年一审通过《内江市城区农贸市场管理条例》，为巩固创卫成果，健全长效运行创卫机制，不断擦亮内江市国家卫生城市金字招牌提供了坚实的法治保障。</w:t>
      </w:r>
    </w:p>
    <w:p w14:paraId="4C203591">
      <w:pPr>
        <w:keepNext w:val="0"/>
        <w:keepLines w:val="0"/>
        <w:pageBreakBefore w:val="0"/>
        <w:widowControl w:val="0"/>
        <w:shd w:val="clear"/>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US" w:eastAsia="zh-CN"/>
        </w:rPr>
        <w:t>（二）聚力“穿透式”调研，摸清问题脉象。</w:t>
      </w:r>
      <w:r>
        <w:rPr>
          <w:rFonts w:hint="default" w:ascii="Times New Roman" w:hAnsi="Times New Roman" w:eastAsia="方正仿宋简体" w:cs="Times New Roman"/>
          <w:b/>
          <w:bCs w:val="0"/>
          <w:snapToGrid w:val="0"/>
          <w:color w:val="auto"/>
          <w:kern w:val="0"/>
          <w:sz w:val="32"/>
          <w:szCs w:val="32"/>
          <w:lang w:val="en-US" w:eastAsia="zh-CN"/>
        </w:rPr>
        <w:t>为助推政府及相关部门解决堵点、难点问题，市人大常委会联系领导带队，多次到内江城区各农贸市场、待利用工地、再生资源回收站以及老旧小区、城中村和城乡结合部等地，全方位、全链条、全环节“穿透式”调研。采取实地察、暗中访、查资料、问情况等方式，发现和收集到持续开展创建的宣传氛围不浓、农贸市场实行多元化管理机制不畅、卫生基础设施建设不足、有的背街小巷和老旧院落环境卫生持续落实清扫保洁不够等问题，摸清了落实长效机制运行底数，帮助分析问题原因，提出整改措施加以解决。</w:t>
      </w:r>
    </w:p>
    <w:p w14:paraId="17A5CECC">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 w:eastAsia="zh-CN"/>
        </w:rPr>
      </w:pPr>
      <w:r>
        <w:rPr>
          <w:rFonts w:hint="default" w:ascii="Times New Roman" w:hAnsi="Times New Roman" w:eastAsia="方正楷体简体" w:cs="Times New Roman"/>
          <w:b/>
          <w:bCs w:val="0"/>
          <w:snapToGrid w:val="0"/>
          <w:color w:val="auto"/>
          <w:kern w:val="0"/>
          <w:sz w:val="32"/>
          <w:szCs w:val="32"/>
          <w:lang w:val="en-US" w:eastAsia="zh-CN"/>
        </w:rPr>
        <w:t>（三）锚定“靶向标”监督，助力机制完善。</w:t>
      </w:r>
      <w:r>
        <w:rPr>
          <w:rFonts w:hint="default" w:ascii="Times New Roman" w:hAnsi="Times New Roman" w:eastAsia="方正仿宋简体" w:cs="Times New Roman"/>
          <w:b/>
          <w:bCs w:val="0"/>
          <w:snapToGrid w:val="0"/>
          <w:color w:val="auto"/>
          <w:kern w:val="0"/>
          <w:sz w:val="32"/>
          <w:szCs w:val="32"/>
          <w:lang w:val="en-US" w:eastAsia="zh-CN"/>
        </w:rPr>
        <w:t>内江市人大常委会专题听取市政府《关于全市国家卫生城市创建长效机制运行情况》的报告，提出强化组织保障、改善市容市貌、加强市场管理、营造浓厚氛围等审议意见。坚持问题导向，组织相关委室跟踪整改问效，督促政府及相关部门进一步夯实工作组织、明确职责、加强宣传，形成市上统筹、属地治理、部门督查、上下联动的巩固国家卫生成果工作格局。助推《内江市生活垃圾分类管理办法》</w:t>
      </w:r>
      <w:r>
        <w:rPr>
          <w:rFonts w:hint="default" w:ascii="Times New Roman" w:hAnsi="Times New Roman" w:eastAsia="方正仿宋简体" w:cs="Times New Roman"/>
          <w:b/>
          <w:bCs w:val="0"/>
          <w:snapToGrid w:val="0"/>
          <w:color w:val="auto"/>
          <w:kern w:val="0"/>
          <w:sz w:val="32"/>
          <w:szCs w:val="32"/>
          <w:lang w:val="en" w:eastAsia="zh-CN"/>
        </w:rPr>
        <w:t>《内江市中心城区市容环境卫生网格化服务责任制实施办法》</w:t>
      </w:r>
      <w:r>
        <w:rPr>
          <w:rFonts w:hint="default" w:ascii="Times New Roman" w:hAnsi="Times New Roman" w:eastAsia="方正仿宋简体" w:cs="Times New Roman"/>
          <w:b/>
          <w:bCs w:val="0"/>
          <w:snapToGrid w:val="0"/>
          <w:color w:val="auto"/>
          <w:kern w:val="0"/>
          <w:sz w:val="32"/>
          <w:szCs w:val="32"/>
          <w:lang w:val="en-US" w:eastAsia="zh-CN"/>
        </w:rPr>
        <w:t>《内江市城市市容和环境卫生标准》《内江中心城区“门前五包”工作实施方案》《内江市城区农贸市场管理办法》等国家卫生城市创建长效机制相继出台，城区市政、环卫、园林等城市基础设施建设得到进一步改造，促进调研中总结提炼的市中区背街小巷清扫保洁市场化运作的经验做法在市城区全域推广，助力城市市容市貌持续改善。</w:t>
      </w:r>
    </w:p>
    <w:p w14:paraId="39F99C4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80" w:lineRule="exact"/>
        <w:ind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 w:eastAsia="zh-CN"/>
        </w:rPr>
        <w:t>（四）</w:t>
      </w:r>
      <w:r>
        <w:rPr>
          <w:rFonts w:hint="default" w:ascii="Times New Roman" w:hAnsi="Times New Roman" w:eastAsia="方正楷体简体" w:cs="Times New Roman"/>
          <w:b/>
          <w:bCs w:val="0"/>
          <w:snapToGrid w:val="0"/>
          <w:color w:val="auto"/>
          <w:kern w:val="0"/>
          <w:sz w:val="32"/>
          <w:szCs w:val="32"/>
          <w:lang w:val="en-US" w:eastAsia="zh-CN"/>
        </w:rPr>
        <w:t>凝聚“组合拳”力量，发挥代表作用。</w:t>
      </w:r>
      <w:r>
        <w:rPr>
          <w:rFonts w:hint="default" w:ascii="Times New Roman" w:hAnsi="Times New Roman" w:eastAsia="方正仿宋简体" w:cs="Times New Roman"/>
          <w:b/>
          <w:bCs w:val="0"/>
          <w:snapToGrid w:val="0"/>
          <w:color w:val="auto"/>
          <w:kern w:val="0"/>
          <w:sz w:val="32"/>
          <w:szCs w:val="32"/>
          <w:lang w:val="en-US" w:eastAsia="zh-CN"/>
        </w:rPr>
        <w:t>一直以来，市人大常委会高度重视卫生城市创建和成果巩固工作，充分发挥代表主体作用，组织市人大常委会领导分片联系定期走访代表、联系指导片区创卫工作，将人大代表提出的“关于巩固创卫成果、确保人民身体健康”等17条涉及城市管理方面的建议意见作为重点工作进行督办，深入开展“我为群众办实事—人大代表在行动”活动，依托城区各社区人大代表联络点，组织辖区人大代表“亮身份”参加卫生大扫除活动，争当巩固国家卫生城市创建成果“践行者”，全市约4000余名各级人大代表结合自身职责，抓住内江实施美乡优城机遇，全面落实农村面貌改善，用实际行动带动社会各界和广大市民积极投身到巩固创卫成果、建设美丽内江当中。</w:t>
      </w:r>
    </w:p>
    <w:p w14:paraId="3304BCC4">
      <w:pPr>
        <w:pStyle w:val="12"/>
        <w:keepLines w:val="0"/>
        <w:pageBreakBefore w:val="0"/>
        <w:kinsoku/>
        <w:wordWrap/>
        <w:topLinePunct w:val="0"/>
        <w:autoSpaceDE/>
        <w:autoSpaceDN/>
        <w:bidi w:val="0"/>
        <w:rPr>
          <w:rFonts w:hint="default" w:ascii="Times New Roman" w:hAnsi="Times New Roman" w:cs="Times New Roman"/>
          <w:b/>
          <w:bCs w:val="0"/>
          <w:color w:val="auto"/>
          <w:lang w:val="en-US" w:eastAsia="zh-CN"/>
        </w:rPr>
      </w:pPr>
    </w:p>
    <w:p w14:paraId="46D8704D">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3AD15F98">
      <w:pPr>
        <w:keepNext w:val="0"/>
        <w:keepLines w:val="0"/>
        <w:pageBreakBefore w:val="0"/>
        <w:widowControl w:val="0"/>
        <w:shd w:val="clear"/>
        <w:tabs>
          <w:tab w:val="left" w:pos="6510"/>
        </w:tabs>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仿宋简体" w:cs="Times New Roman"/>
          <w:b/>
          <w:bCs w:val="0"/>
          <w:snapToGrid w:val="0"/>
          <w:color w:val="auto"/>
          <w:kern w:val="0"/>
          <w:sz w:val="32"/>
          <w:szCs w:val="32"/>
          <w:lang w:val="en-US" w:eastAsia="zh-CN"/>
        </w:rPr>
        <w:t>近年来，内江市人大常委会在助推国家卫生城市创建长效机制运行工作实践中，紧扣民生汇聚民意，充分发挥人大代表作用，加快地方性法规制定，积极探索监督方式，取得了一定成效，对今后继续做好人大工作获得了有益启示。</w:t>
      </w:r>
    </w:p>
    <w:p w14:paraId="59BA2374">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US" w:eastAsia="zh-CN"/>
        </w:rPr>
        <w:t>启示一：恪守立法为民理念是提高立法质量的根本途径。</w:t>
      </w:r>
      <w:r>
        <w:rPr>
          <w:rFonts w:hint="default" w:ascii="Times New Roman" w:hAnsi="Times New Roman" w:eastAsia="方正仿宋简体" w:cs="Times New Roman"/>
          <w:b/>
          <w:bCs w:val="0"/>
          <w:snapToGrid w:val="0"/>
          <w:color w:val="auto"/>
          <w:kern w:val="0"/>
          <w:sz w:val="32"/>
          <w:szCs w:val="32"/>
          <w:lang w:val="en-US" w:eastAsia="zh-CN"/>
        </w:rPr>
        <w:t>习近平总书记强调：“推进科学立法、民主立法，是提高立法质量的根本途径。科学立法的核心在于尊重和体现客观规律，民主立法的核心在于为了人民、依靠人民。”深刻指出了提高立法质量的目的、途径、方法。内江市人大常委会紧紧围绕市委决策部署，积极发挥立法主导作用，深入推进科学立法、民主立法、依法立法，相继制定出台7部地方性法规，破解城市管理难题，确保各项巩固创卫成果举措都在法治保障的轨道上稳步推进，为内江市经济社会高质量发展提供了更加有力的法治保障。</w:t>
      </w:r>
    </w:p>
    <w:p w14:paraId="4E7D5527">
      <w:pPr>
        <w:keepNext w:val="0"/>
        <w:keepLines w:val="0"/>
        <w:pageBreakBefore w:val="0"/>
        <w:widowControl w:val="0"/>
        <w:shd w:val="clear"/>
        <w:tabs>
          <w:tab w:val="left" w:pos="6510"/>
        </w:tabs>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US" w:eastAsia="zh-CN"/>
        </w:rPr>
        <w:t>启示二：深入开展调查研究是做好监督工作的关键所在。</w:t>
      </w:r>
      <w:r>
        <w:rPr>
          <w:rFonts w:hint="default" w:ascii="Times New Roman" w:hAnsi="Times New Roman" w:eastAsia="方正仿宋简体" w:cs="Times New Roman"/>
          <w:b/>
          <w:bCs w:val="0"/>
          <w:snapToGrid w:val="0"/>
          <w:color w:val="auto"/>
          <w:kern w:val="0"/>
          <w:sz w:val="32"/>
          <w:szCs w:val="32"/>
          <w:lang w:val="en-US" w:eastAsia="zh-CN"/>
        </w:rPr>
        <w:t>调查研究是各级人大及其常委会的议事之先、监督之要、决策之据，用好调查研究这个传家宝，是地方人大及其常委会掌握真实情况和民情民意、增强人大监督工作实效、不断加强和改进新时代人大工作、践行全过程人民民主的应有之义。内江市人大常委会高度重视调查研究，结合集体视察、执法检查、工作评议等，运用“四下基层”方式深入实际、深入基层、深入群众开展调研。在巩固创卫成果工作调研中，走进农贸市场、建筑工地、背街小巷、城乡结合部等，与基层一线群众广泛沟通交流，倾听民意了解民情，回应百姓关心关注的问题，助推创卫长效机制有效、有力运行。</w:t>
      </w:r>
    </w:p>
    <w:p w14:paraId="163ED752">
      <w:pPr>
        <w:keepNext w:val="0"/>
        <w:keepLines w:val="0"/>
        <w:pageBreakBefore w:val="0"/>
        <w:widowControl w:val="0"/>
        <w:shd w:val="clear"/>
        <w:tabs>
          <w:tab w:val="left" w:pos="6510"/>
        </w:tabs>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US" w:eastAsia="zh-CN"/>
        </w:rPr>
        <w:t>启示三：坚持问题导向是提升监督工作质效的重要方法。</w:t>
      </w:r>
      <w:r>
        <w:rPr>
          <w:rFonts w:hint="default" w:ascii="Times New Roman" w:hAnsi="Times New Roman" w:eastAsia="方正仿宋简体" w:cs="Times New Roman"/>
          <w:b/>
          <w:bCs w:val="0"/>
          <w:snapToGrid w:val="0"/>
          <w:color w:val="auto"/>
          <w:kern w:val="0"/>
          <w:sz w:val="32"/>
          <w:szCs w:val="32"/>
          <w:lang w:val="en-US" w:eastAsia="zh-CN"/>
        </w:rPr>
        <w:t>从人大监督的设计和运行看，就是为了督促解决“一府一委两院”工作中存在的问题，能不能发现问题、解决问题，能解决多少问题，是衡量人大监督实效的一个重要标准，为此，要牢固树立问题导向，通过监督助推问题的落地见效。在国家卫生城市创建长效机制运行情况调研中，针对农贸市场建设管理、背街小巷以及城乡结合部卫生整治、食品“三小”、公卫“五小”等难点、痛点问题加强监督。其中针对群众尤为关注的背街小巷、城乡结合部环卫治理问题，及时提出城区清扫保洁市场化运作全覆盖的意见并与主管部门现场沟通、助推落实，实实在在的解决了百姓所盼。</w:t>
      </w:r>
    </w:p>
    <w:p w14:paraId="056469F4">
      <w:pPr>
        <w:keepNext w:val="0"/>
        <w:keepLines w:val="0"/>
        <w:pageBreakBefore w:val="0"/>
        <w:widowControl w:val="0"/>
        <w:shd w:val="clear"/>
        <w:tabs>
          <w:tab w:val="left" w:pos="6510"/>
        </w:tabs>
        <w:kinsoku/>
        <w:wordWrap/>
        <w:overflowPunct/>
        <w:topLinePunct w:val="0"/>
        <w:autoSpaceDE/>
        <w:autoSpaceDN/>
        <w:bidi w:val="0"/>
        <w:adjustRightInd w:val="0"/>
        <w:snapToGrid w:val="0"/>
        <w:spacing w:line="580" w:lineRule="exact"/>
        <w:ind w:left="0" w:leftChars="0" w:firstLine="643" w:firstLineChars="200"/>
        <w:jc w:val="both"/>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snapToGrid w:val="0"/>
          <w:color w:val="auto"/>
          <w:kern w:val="0"/>
          <w:sz w:val="32"/>
          <w:szCs w:val="32"/>
          <w:lang w:val="en-US" w:eastAsia="zh-CN"/>
        </w:rPr>
        <w:t>启示四：充分发挥代表作用是做好新时代人大工作的基础。</w:t>
      </w:r>
      <w:r>
        <w:rPr>
          <w:rFonts w:hint="default" w:ascii="Times New Roman" w:hAnsi="Times New Roman" w:eastAsia="方正仿宋简体" w:cs="Times New Roman"/>
          <w:b/>
          <w:bCs w:val="0"/>
          <w:snapToGrid w:val="0"/>
          <w:color w:val="auto"/>
          <w:kern w:val="0"/>
          <w:sz w:val="32"/>
          <w:szCs w:val="32"/>
          <w:lang w:val="en-US" w:eastAsia="zh-CN"/>
        </w:rPr>
        <w:t>人大代表是人民代表大会的主体，依靠代表，发挥代表作用，是做好人大工作、提高人大工作整体水平的基础和关键。内江市人大常委会鼓励人大代表主动作为，敢于担当，干在一线、冲在前面，充分发挥人大代表紧密联系群众的作用，组织代表与基层广大干部群众全面清理辖区内大街小巷、社区院落等重点部位小广告、白色垃圾，督促沿街商铺落实“门前三包”责任制，以实际行动为广大群众树标杆、做示范，为巩固国家卫生城市成果造氛围、做宣传，形成助推国家卫生城市创建长效机制有效、有序运行的强大合力，助力巩固国家卫生城市工作走深走实。</w:t>
      </w:r>
    </w:p>
    <w:p w14:paraId="77A4F51C">
      <w:pPr>
        <w:pStyle w:val="5"/>
        <w:keepLines w:val="0"/>
        <w:pageBreakBefore w:val="0"/>
        <w:shd w:val="clear"/>
        <w:kinsoku/>
        <w:wordWrap/>
        <w:topLinePunct w:val="0"/>
        <w:autoSpaceDE/>
        <w:autoSpaceDN/>
        <w:bidi w:val="0"/>
        <w:rPr>
          <w:rFonts w:hint="default" w:ascii="Times New Roman" w:hAnsi="Times New Roman" w:eastAsia="方正仿宋简体" w:cs="Times New Roman"/>
          <w:b/>
          <w:bCs w:val="0"/>
          <w:snapToGrid w:val="0"/>
          <w:color w:val="auto"/>
          <w:kern w:val="0"/>
          <w:sz w:val="32"/>
          <w:szCs w:val="32"/>
          <w:lang w:val="en-US" w:eastAsia="zh-CN"/>
        </w:rPr>
      </w:pPr>
    </w:p>
    <w:p w14:paraId="237DD771">
      <w:pPr>
        <w:pStyle w:val="6"/>
        <w:keepLines w:val="0"/>
        <w:pageBreakBefore w:val="0"/>
        <w:shd w:val="clear"/>
        <w:kinsoku/>
        <w:wordWrap/>
        <w:topLinePunct w:val="0"/>
        <w:autoSpaceDE/>
        <w:autoSpaceDN/>
        <w:bidi w:val="0"/>
        <w:rPr>
          <w:rFonts w:hint="default" w:ascii="Times New Roman" w:hAnsi="Times New Roman" w:eastAsia="方正仿宋简体" w:cs="Times New Roman"/>
          <w:b/>
          <w:bCs w:val="0"/>
          <w:snapToGrid w:val="0"/>
          <w:color w:val="auto"/>
          <w:kern w:val="0"/>
          <w:sz w:val="32"/>
          <w:szCs w:val="32"/>
          <w:lang w:val="en-US" w:eastAsia="zh-CN"/>
        </w:rPr>
      </w:pPr>
    </w:p>
    <w:p w14:paraId="38163026">
      <w:pPr>
        <w:keepLines w:val="0"/>
        <w:pageBreakBefore w:val="0"/>
        <w:shd w:val="clear"/>
        <w:kinsoku/>
        <w:wordWrap/>
        <w:topLinePunct w:val="0"/>
        <w:autoSpaceDE/>
        <w:autoSpaceDN/>
        <w:bidi w:val="0"/>
        <w:rPr>
          <w:rFonts w:hint="default" w:ascii="Times New Roman" w:hAnsi="Times New Roman" w:cs="Times New Roman"/>
          <w:b/>
          <w:bCs w:val="0"/>
          <w:color w:val="auto"/>
          <w:lang w:val="en-US" w:eastAsia="zh-CN"/>
        </w:rPr>
      </w:pPr>
      <w:r>
        <w:rPr>
          <w:rFonts w:hint="default" w:ascii="Times New Roman" w:hAnsi="Times New Roman" w:cs="Times New Roman"/>
          <w:b/>
          <w:bCs w:val="0"/>
          <w:color w:val="auto"/>
          <w:lang w:val="en-US" w:eastAsia="zh-CN"/>
        </w:rPr>
        <w:br w:type="page"/>
      </w:r>
    </w:p>
    <w:p w14:paraId="4561FD1C">
      <w:pPr>
        <w:keepLines w:val="0"/>
        <w:pageBreakBefore w:val="0"/>
        <w:widowControl/>
        <w:shd w:val="clear"/>
        <w:kinsoku/>
        <w:wordWrap/>
        <w:topLinePunct w:val="0"/>
        <w:autoSpaceDE/>
        <w:autoSpaceDN/>
        <w:bidi w:val="0"/>
        <w:spacing w:line="580" w:lineRule="exact"/>
        <w:jc w:val="left"/>
        <w:rPr>
          <w:rFonts w:hint="default" w:ascii="Times New Roman" w:hAnsi="Times New Roman" w:eastAsia="方正黑体简体" w:cs="Times New Roman"/>
          <w:b/>
          <w:bCs w:val="0"/>
          <w:color w:val="auto"/>
          <w:sz w:val="32"/>
          <w:szCs w:val="32"/>
        </w:rPr>
      </w:pPr>
    </w:p>
    <w:p w14:paraId="3A6D4D3F">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7" w:name="_Toc12776"/>
      <w:r>
        <w:rPr>
          <w:rFonts w:hint="default" w:ascii="Times New Roman" w:hAnsi="Times New Roman" w:eastAsia="方正小标宋简体" w:cs="Times New Roman"/>
          <w:b/>
          <w:bCs w:val="0"/>
          <w:color w:val="auto"/>
          <w:highlight w:val="none"/>
          <w:lang w:val="en-US" w:eastAsia="zh-CN"/>
        </w:rPr>
        <w:t>“小切口”立法助推地方传统戏剧保护传承</w:t>
      </w:r>
      <w:bookmarkEnd w:id="7"/>
    </w:p>
    <w:p w14:paraId="2B748CC0">
      <w:pPr>
        <w:keepNext w:val="0"/>
        <w:keepLines w:val="0"/>
        <w:pageBreakBefore w:val="0"/>
        <w:widowControl w:val="0"/>
        <w:shd w:val="clear"/>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南充市人大常委会</w:t>
      </w:r>
    </w:p>
    <w:p w14:paraId="32D26424">
      <w:pPr>
        <w:keepLines w:val="0"/>
        <w:pageBreakBefore w:val="0"/>
        <w:shd w:val="clear"/>
        <w:kinsoku/>
        <w:wordWrap/>
        <w:topLinePunct w:val="0"/>
        <w:autoSpaceDE/>
        <w:autoSpaceDN/>
        <w:bidi w:val="0"/>
        <w:spacing w:line="570" w:lineRule="exact"/>
        <w:rPr>
          <w:rFonts w:hint="default" w:ascii="Times New Roman" w:hAnsi="Times New Roman" w:eastAsia="方正仿宋_GBK" w:cs="Times New Roman"/>
          <w:b/>
          <w:bCs w:val="0"/>
          <w:color w:val="auto"/>
          <w:sz w:val="32"/>
          <w:szCs w:val="32"/>
        </w:rPr>
      </w:pPr>
    </w:p>
    <w:p w14:paraId="6A1A2E3A">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219064E6">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党的十八大以来，以习近平同志为核心的党中央高度重视优秀传统文化的传承和弘扬，作出了支持戏剧艺术繁荣发展以丰富人民群众精神文化生活的重要论述和决策部署，国、省人大常委会关于非物质文化遗产和公共文化服务保障的法律法规相继出台。</w:t>
      </w:r>
    </w:p>
    <w:p w14:paraId="0580CEDC">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南充是三国文化和春节文化的发祥地，民风淳朴，民俗优雅，三国文化、丝绸文化、红色文化和嘉陵江文化交融生辉，以川北大木偶为代表的传统地方戏剧文化名扬中外。经过数年的传承和发展，以川北灯戏、川北皮影、川北大木偶等为代表的南充地方戏剧以其显著的川北地方特色和独到的传承技艺享誉国内外，成为南充优秀传统文化的标志性符号。南充市人民政府对涉及地方戏剧保护的南充市非物质文化遗产保护的政府规章已于2018年前出台，几年来的施行，形成了较为有效的工作机制、保护模式、监督方式。这些，给制定传统地方戏剧保护法规提供了基础和前提。</w:t>
      </w:r>
    </w:p>
    <w:p w14:paraId="334EA432">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p>
    <w:p w14:paraId="7BC64A26">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3496F98F">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南充市人大常委会在立法调研中发现，南充市地方戏剧“活不好、传不了、难出精品、难有名家”的问题不同程度存在。经讨论认为，要制定“接地气”、“有特色”、“真管用”的地方性法规予以制度性保护和传承，并督促相关条文真正落地见效，才能让传统地方戏剧得到应有的传承和发展。</w:t>
      </w:r>
    </w:p>
    <w:p w14:paraId="6B6BB771">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（一）聚焦经费问题，推动预算落实。</w:t>
      </w:r>
      <w:r>
        <w:rPr>
          <w:rFonts w:hint="default" w:ascii="Times New Roman" w:hAnsi="Times New Roman" w:eastAsia="方正仿宋简体" w:cs="Times New Roman"/>
          <w:b/>
          <w:bCs w:val="0"/>
          <w:color w:val="auto"/>
          <w:sz w:val="32"/>
          <w:szCs w:val="32"/>
        </w:rPr>
        <w:t>针对地方戏剧表演团体经费紧张，戏剧普查、濒危小剧种抢救、基层和民间艺术表演团体的扶持未能取得预期工作效果等问题，《南充市传统地方戏剧保护条例》规定将传统地方戏剧保护工作经费列入本级预算，并设立传统地方戏剧发展专项基金。在每年例行的南充市人民代表大会的预算审查中，市人大财政经济委员会督促条例规定的有关经费预算到位，确保在建立保护名录、建立数据库、设立发展专项基金、排练演出场所建设、校园传播等方面工作在一定的期限内得以推动并见成效。</w:t>
      </w:r>
    </w:p>
    <w:p w14:paraId="3318BDB6">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（二）聚焦人才问题，推动培育培训。</w:t>
      </w:r>
      <w:r>
        <w:rPr>
          <w:rFonts w:hint="default" w:ascii="Times New Roman" w:hAnsi="Times New Roman" w:eastAsia="方正仿宋简体" w:cs="Times New Roman"/>
          <w:b/>
          <w:bCs w:val="0"/>
          <w:color w:val="auto"/>
          <w:sz w:val="32"/>
          <w:szCs w:val="32"/>
        </w:rPr>
        <w:t>针对上台表演人员老龄化严重，列入国省市非遗传承人仅21位，2016年后无新增和一些流传于民间尤其是乡村区域的具有地方特色的传统剧种出现无传承人、濒临消失的境况等问题，《南充市传统地方戏剧保护条例》规定加强传统地方戏剧工作队伍建设，建立完善传统地方戏剧人才培养、储备、激励机制，支持职业院校建立学生实践基地及人才培养基地，开设传统地方戏剧传习班等。市人大常委会及相关专委会促成南充市文广旅局与相关高职院校联合办学，设立川北大木偶、川北灯戏非遗传习班。近几年，市财政每年出资360万元保障学员的学杂、食宿等费用，现累计培养传习班学员120人。市川剧团在四川省服装学校设立川北灯戏传习班，实行名家传承人传帮带，“以老带新”地传承技艺，培养学徒40人。阆中王皮影打破了家族授艺的陈规，面向社会招生，培养了一批年轻的业务骨干。</w:t>
      </w:r>
    </w:p>
    <w:p w14:paraId="376A278B">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（三）聚焦展演场地问题，推动场所落地。</w:t>
      </w:r>
      <w:r>
        <w:rPr>
          <w:rFonts w:hint="default" w:ascii="Times New Roman" w:hAnsi="Times New Roman" w:eastAsia="方正仿宋简体" w:cs="Times New Roman"/>
          <w:b/>
          <w:bCs w:val="0"/>
          <w:color w:val="auto"/>
          <w:sz w:val="32"/>
          <w:szCs w:val="32"/>
        </w:rPr>
        <w:t>针对地方戏剧表演团体表演场所破旧、大都无表演场所的问题，《南充市传统地方戏剧保护条例》规定加强传统地方戏剧基础设施建设，合理布局地方戏剧演出空间，建设大中型标准剧场和传习场所，对已有的标准剧场进行维修维护。市人大相关专委会敦促相关展演项目建设和展演场地的落实，川北大木偶在南充市西河体育公园建设了专门演出场地，南充市川剧团在南充市南门坝生态公园春晖阁有了专门演出舞台，阆中市川剧团在阆中古城繁华地段有了与观众互动的展演场地等等。</w:t>
      </w:r>
    </w:p>
    <w:p w14:paraId="3EE344B1">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（四）聚焦传播创新问题，推动提质扩面。</w:t>
      </w:r>
      <w:r>
        <w:rPr>
          <w:rFonts w:hint="default" w:ascii="Times New Roman" w:hAnsi="Times New Roman" w:eastAsia="方正仿宋简体" w:cs="Times New Roman"/>
          <w:b/>
          <w:bCs w:val="0"/>
          <w:color w:val="auto"/>
          <w:sz w:val="32"/>
          <w:szCs w:val="32"/>
        </w:rPr>
        <w:t>针对传统地方戏剧精品不多、受众面不大、年轻人关注不多的问题，《南充市传统地方戏剧保护条例》规定建立优秀剧本奖励制度，公开征集和购买传统戏剧剧本，建立传统地方戏剧作品项目库，鼓励和支持各类学校将传统地方戏剧纳入校本教材，成立戏剧社团，开设兴趣班，合作开展校园戏剧普及活动。市人大有关专委会牵头推动传统戏剧进学校、进社区。川北大木偶、阆中皮影、南部皮影、川北灯戏等传统戏剧走进学校，与中小学生开展面对面教学和互动活动。嘉陵江灯戏暨地方戏剧艺术节、南充国际木偶艺术周等由此应运而生。市人大有关专委会强力推动传统戏剧精品创作和展演。南充市川剧团复排经典川剧《白蛇传》，荣获全省首届川剧汇演大幕戏二等奖。创设亚太国际木偶皮影展演基地，创排大木偶剧《龙门传说》、川北灯戏《张飞轶事》等精品剧目，创推“四季清晖”二十四节气实景演艺，实现了“叫座”又“叫好”。</w:t>
      </w:r>
    </w:p>
    <w:p w14:paraId="2308AF4C">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p>
    <w:p w14:paraId="3B7138B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3D93A885">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（一）善于调查研究是科学立法的基本功课。</w:t>
      </w:r>
      <w:r>
        <w:rPr>
          <w:rFonts w:hint="default" w:ascii="Times New Roman" w:hAnsi="Times New Roman" w:eastAsia="方正仿宋简体" w:cs="Times New Roman"/>
          <w:b/>
          <w:bCs w:val="0"/>
          <w:color w:val="auto"/>
          <w:sz w:val="32"/>
          <w:szCs w:val="32"/>
        </w:rPr>
        <w:t>调查研究是谋事之基、成事之道。只有通过科学的调查研究，才能找准问题症结、找出良方优策，增强立法的针对性、科学性和可操作性。市人大常委会领导带队到县（市、区）现场实地调研，与院团负责人、高职院校有关专家、戏剧传承人深入沟通交谈，到无锡、苏州、安庆等地学习借鉴昆曲、黄梅戏的立法经验，掌握了实际情况，学到了先进做法，为突出重点、有的放矢、科学立法奠定了基础。</w:t>
      </w:r>
    </w:p>
    <w:p w14:paraId="7298C8D6">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（二）吸纳各方智慧是民主立法的重要途径。</w:t>
      </w:r>
      <w:r>
        <w:rPr>
          <w:rFonts w:hint="default" w:ascii="Times New Roman" w:hAnsi="Times New Roman" w:eastAsia="方正仿宋简体" w:cs="Times New Roman"/>
          <w:b/>
          <w:bCs w:val="0"/>
          <w:color w:val="auto"/>
          <w:sz w:val="32"/>
          <w:szCs w:val="32"/>
        </w:rPr>
        <w:t>群众路线是立法的生命线。这需要我们在立法过程中贯彻群众路线，听取人民群众意见，接受人民群众的监督，从而得到人民群众的尊崇信仰、遵守运用。因此，在起草和审议过程中，市人大常委会先后收到社会公众的意见建议数百条，涉及保护对象、保护责任、法律责任等内容，大家仔细斟酌，合理采纳。邀请相关高等院校专家、学者、教授召开立法论证会，围绕各方反馈的意见建议进行了反复磋商、精准修改。省人大常委会法工委领导召集召开专题会议，提出修改意见，为条例的进一步完善提供了更加清晰的路径，为条例的表决通过以至最后批准提供了坚强的支撑。</w:t>
      </w:r>
    </w:p>
    <w:p w14:paraId="2877B7DB">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（三）充分商讨论证是依法立法的重要环节。</w:t>
      </w:r>
      <w:r>
        <w:rPr>
          <w:rFonts w:hint="default" w:ascii="Times New Roman" w:hAnsi="Times New Roman" w:eastAsia="方正仿宋简体" w:cs="Times New Roman"/>
          <w:b/>
          <w:bCs w:val="0"/>
          <w:color w:val="auto"/>
          <w:sz w:val="32"/>
          <w:szCs w:val="32"/>
        </w:rPr>
        <w:t>立法思路确立、框架构成、条款拟定，只有做到充分研讨、反复论证、反复推敲、字斟句酌，才能经得起实践的检验，得到群众的践行和社会的认同。市人大常委会立法起草工作组依据上位法规定，充分运用调研成果，充分借鉴成熟经验，有效发挥大数据作用，拓展立法视野，延伸立法触角，借鉴南充市有关规范性文件和外地立法经验，完成了戏剧保护条例草案的起草，条例草案分发给市、县两级文旅部门和院团负责人、高职院校有关专家、戏剧传承人等征求意见。条例草案在市人大常委会会议审议中，其名称三次变更（由地方戏剧保护条例到优秀传统地方戏剧保护条例，再到传统地方戏剧保护条例），体现的是市人大常委会组成人员发扬求真务实、勇于探索的作风，体现的是让出台的法规更加贴近实际，更加精准和精细，相关条款可行并接地气。</w:t>
      </w:r>
    </w:p>
    <w:p w14:paraId="79427C5A">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（四）督促有效实施是依法监督的重要手段。</w:t>
      </w:r>
      <w:r>
        <w:rPr>
          <w:rFonts w:hint="default" w:ascii="Times New Roman" w:hAnsi="Times New Roman" w:eastAsia="方正仿宋简体" w:cs="Times New Roman"/>
          <w:b/>
          <w:bCs w:val="0"/>
          <w:color w:val="auto"/>
          <w:sz w:val="32"/>
          <w:szCs w:val="32"/>
        </w:rPr>
        <w:t>徒法不足以自行，法律的生命力在于实施。再好的法律法规，如果得不到实施，就只能是一纸空文，无法发挥其应有的作用。因此，市人大常委会抓住《南充市传统地方戏剧保护条例》的实施这个重点，充分发挥人大常委会和有关专委会的职能作用，做好督促、牵头和协调工作，让相关规定真正落地，取得工作成效，收到监督实效，从而树立地方人大及其常委会应有的权威。</w:t>
      </w:r>
    </w:p>
    <w:p w14:paraId="1E49DCD2">
      <w:pPr>
        <w:keepLines w:val="0"/>
        <w:pageBreakBefore w:val="0"/>
        <w:shd w:val="clear"/>
        <w:kinsoku/>
        <w:wordWrap/>
        <w:topLinePunct w:val="0"/>
        <w:autoSpaceDE/>
        <w:autoSpaceDN/>
        <w:bidi w:val="0"/>
        <w:rPr>
          <w:rFonts w:hint="default" w:ascii="Times New Roman" w:hAnsi="Times New Roman" w:eastAsia="方正仿宋_GBK" w:cs="Times New Roman"/>
          <w:b/>
          <w:bCs w:val="0"/>
          <w:color w:val="auto"/>
          <w:sz w:val="32"/>
          <w:szCs w:val="32"/>
          <w:lang w:bidi="ar-SA"/>
        </w:rPr>
      </w:pPr>
      <w:r>
        <w:rPr>
          <w:rFonts w:hint="default" w:ascii="Times New Roman" w:hAnsi="Times New Roman" w:eastAsia="方正仿宋_GBK" w:cs="Times New Roman"/>
          <w:b/>
          <w:bCs w:val="0"/>
          <w:color w:val="auto"/>
          <w:sz w:val="32"/>
          <w:szCs w:val="32"/>
          <w:lang w:bidi="ar-SA"/>
        </w:rPr>
        <w:br w:type="page"/>
      </w:r>
    </w:p>
    <w:p w14:paraId="1F6F7E58">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b/>
          <w:bCs w:val="0"/>
          <w:color w:val="auto"/>
          <w:sz w:val="32"/>
          <w:szCs w:val="32"/>
          <w:lang w:bidi="ar-SA"/>
        </w:rPr>
      </w:pPr>
    </w:p>
    <w:p w14:paraId="1AC02B76">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8" w:name="_Toc3577"/>
      <w:r>
        <w:rPr>
          <w:rFonts w:hint="default" w:ascii="Times New Roman" w:hAnsi="Times New Roman" w:eastAsia="方正小标宋简体" w:cs="Times New Roman"/>
          <w:b/>
          <w:bCs w:val="0"/>
          <w:color w:val="auto"/>
          <w:highlight w:val="none"/>
          <w:lang w:val="en-US" w:eastAsia="zh-CN"/>
        </w:rPr>
        <w:t>推动中医药传承创新发展的人大实践</w:t>
      </w:r>
      <w:bookmarkEnd w:id="8"/>
    </w:p>
    <w:p w14:paraId="26B2372A">
      <w:pPr>
        <w:keepLines w:val="0"/>
        <w:pageBreakBefore w:val="0"/>
        <w:widowControl/>
        <w:shd w:val="clear"/>
        <w:kinsoku/>
        <w:wordWrap/>
        <w:topLinePunct w:val="0"/>
        <w:autoSpaceDE/>
        <w:autoSpaceDN/>
        <w:bidi w:val="0"/>
        <w:spacing w:line="640" w:lineRule="exact"/>
        <w:jc w:val="center"/>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lang w:eastAsia="zh-CN"/>
        </w:rPr>
        <w:t>宜宾</w:t>
      </w:r>
      <w:r>
        <w:rPr>
          <w:rFonts w:hint="default" w:ascii="Times New Roman" w:hAnsi="Times New Roman" w:eastAsia="方正楷体简体" w:cs="Times New Roman"/>
          <w:b/>
          <w:bCs w:val="0"/>
          <w:color w:val="auto"/>
          <w:sz w:val="32"/>
          <w:szCs w:val="32"/>
        </w:rPr>
        <w:t>市人大常委会</w:t>
      </w:r>
    </w:p>
    <w:p w14:paraId="538F2D1B">
      <w:pPr>
        <w:keepLines w:val="0"/>
        <w:pageBreakBefore w:val="0"/>
        <w:shd w:val="clear"/>
        <w:kinsoku/>
        <w:wordWrap/>
        <w:topLinePunct w:val="0"/>
        <w:autoSpaceDE/>
        <w:autoSpaceDN/>
        <w:bidi w:val="0"/>
        <w:spacing w:line="560" w:lineRule="exact"/>
        <w:ind w:firstLine="643" w:firstLineChars="200"/>
        <w:rPr>
          <w:rFonts w:hint="default" w:ascii="Times New Roman" w:hAnsi="Times New Roman" w:eastAsia="仿宋_GB2312" w:cs="Times New Roman"/>
          <w:b/>
          <w:bCs w:val="0"/>
          <w:color w:val="auto"/>
          <w:sz w:val="32"/>
          <w:szCs w:val="32"/>
        </w:rPr>
      </w:pPr>
    </w:p>
    <w:p w14:paraId="62DEB41C">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537F93F1">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方正仿宋简体" w:cs="Times New Roman"/>
          <w:b/>
          <w:bCs w:val="0"/>
          <w:color w:val="auto"/>
          <w:sz w:val="32"/>
          <w:szCs w:val="32"/>
          <w:lang w:bidi="ar-SA"/>
        </w:rPr>
        <w:t>习近平总书记指出:“中医药学凝聚着深邃的哲学智慧和中华民族几千年的健康养生理念及其实践经验，是中国古代科学的瑰宝，也是打开中华文明宝库的钥匙。”“要做好中医药守正创新、传承发展工作，建立符合中医药特点的服务体系、服务模式、管理模式、人才培养模式，使传统中医药发扬光大”。党的二十大报告明确指出，要促进中医药传承创新发展，推进健康中国建设。</w:t>
      </w:r>
    </w:p>
    <w:p w14:paraId="5851F3F6">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方正仿宋简体" w:cs="Times New Roman"/>
          <w:b/>
          <w:bCs w:val="0"/>
          <w:color w:val="auto"/>
          <w:sz w:val="32"/>
          <w:szCs w:val="32"/>
          <w:lang w:bidi="ar-SA"/>
        </w:rPr>
        <w:t>宜宾有中医类别医疗机构467家，但中医药服务发展不平衡不充分；有药用资源植物1700多种，规模化种植川产道地药材44种，占全省51%以上，但中医药一、二、三产联动发展基础薄弱；中医药文化底蕴深厚，但挖掘传承利用不足；体制机制还不优、发展政策不全面、专项保障还不足等困难如何化解。针对这些问题，宜宾市人大常委会锚定市委确定的建设国家区域中医药中心、中医药强市目标，坚持围绕中心、服务大局，持续关注中医药传承创新发展工作，切实履行人大法定职责，积极建言献策，为推动宜宾中医药高质量发展作出人大贡献。</w:t>
      </w:r>
    </w:p>
    <w:p w14:paraId="17C5B306">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p>
    <w:p w14:paraId="472B64EC">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44E3170B">
      <w:pPr>
        <w:keepLines w:val="0"/>
        <w:pageBreakBefore w:val="0"/>
        <w:widowControl/>
        <w:shd w:val="clear"/>
        <w:kinsoku/>
        <w:wordWrap/>
        <w:topLinePunct w:val="0"/>
        <w:autoSpaceDE/>
        <w:autoSpaceDN/>
        <w:bidi w:val="0"/>
        <w:spacing w:line="560" w:lineRule="exact"/>
        <w:ind w:firstLine="643" w:firstLineChars="200"/>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楷体_GB2312" w:cs="Times New Roman"/>
          <w:b/>
          <w:bCs w:val="0"/>
          <w:color w:val="auto"/>
          <w:sz w:val="32"/>
          <w:szCs w:val="32"/>
          <w:shd w:val="clear" w:color="auto" w:fill="FFFFFF"/>
        </w:rPr>
        <w:t>（一）把好“三个环节”，在构建监督闭环中推动中医药事业高质量发展。</w:t>
      </w:r>
      <w:r>
        <w:rPr>
          <w:rFonts w:hint="default" w:ascii="Times New Roman" w:hAnsi="Times New Roman" w:eastAsia="方正仿宋简体" w:cs="Times New Roman"/>
          <w:b/>
          <w:bCs w:val="0"/>
          <w:color w:val="auto"/>
          <w:sz w:val="32"/>
          <w:szCs w:val="32"/>
          <w:lang w:bidi="ar-SA"/>
        </w:rPr>
        <w:t>一是精心选题聚准焦点。深刻领会习近平总书记关于中医药发展的重要讲话和重要指示批示精神，聚焦党中央关于中医药发展的重大决策部署和省委市委工作安排，把促进中医药高质量发展的工作纳入监督“总盘子”。近年来，先后把开展《中华人民共和国中医药法》《四川省中医药条例》执法检查、听取公立医院高质量发展推进情况报告等事项列入常委会工作要点和年度监督计划，精心制定执法检查和视察调研等工作方案，通过法律监督和工作监督，推动党中央、省委、市委关于中医药发展的决策部署在宜宾落地落实。二是调研审议认真把脉。把调查研究作为做好监督工作的基础和必经程序，摸清情况、梳理问题、提出建议，市人大常委会领导通过落实联系工作责任，常态化督导检查、调研座谈等，深入各县（区）调研，提出</w:t>
      </w:r>
      <w:r>
        <w:rPr>
          <w:rFonts w:hint="default" w:ascii="Times New Roman" w:hAnsi="Times New Roman" w:eastAsia="方正仿宋简体" w:cs="Times New Roman"/>
          <w:b/>
          <w:bCs w:val="0"/>
          <w:color w:val="auto"/>
          <w:sz w:val="32"/>
          <w:szCs w:val="32"/>
          <w:lang w:val="en" w:bidi="ar-SA"/>
        </w:rPr>
        <w:t>加强</w:t>
      </w:r>
      <w:r>
        <w:rPr>
          <w:rFonts w:hint="default" w:ascii="Times New Roman" w:hAnsi="Times New Roman" w:eastAsia="方正仿宋简体" w:cs="Times New Roman"/>
          <w:b/>
          <w:bCs w:val="0"/>
          <w:color w:val="auto"/>
          <w:sz w:val="32"/>
          <w:szCs w:val="32"/>
          <w:lang w:bidi="ar-SA"/>
        </w:rPr>
        <w:t>中医药文化传承交流、优化完善优质高效中医药服务体系的政策机制、筑牢中医药人才基础、支持道地药材良种繁育基地和生产基地建设，大力发展中医药+文化旅游产业等系列意见建议，推动出台中医药强市建设十条措施，构建起“制度设计+综合政策+配套办法”的完善政策架构。三是跟踪监督持续推动。切实做好监督“后半篇文章”，围绕支持中医院工作示范、提升优质中医医疗及基层中医药服务能力、强化中医特色优势、加强中医药人才引培、川产道地药材种养殖、中医药企业培育、中医药科研创新、“中医药+新业态”发展等，开列重点监督清单，持续跟踪监督，督促审议意见和视察调研建议落实到位，推动各类问题切实解决。</w:t>
      </w:r>
    </w:p>
    <w:p w14:paraId="798CDB5F">
      <w:pPr>
        <w:keepLines w:val="0"/>
        <w:pageBreakBefore w:val="0"/>
        <w:widowControl/>
        <w:shd w:val="clear"/>
        <w:kinsoku/>
        <w:wordWrap/>
        <w:topLinePunct w:val="0"/>
        <w:autoSpaceDE/>
        <w:autoSpaceDN/>
        <w:bidi w:val="0"/>
        <w:spacing w:line="560" w:lineRule="exact"/>
        <w:ind w:firstLine="643" w:firstLineChars="200"/>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楷体_GB2312" w:cs="Times New Roman"/>
          <w:b/>
          <w:bCs w:val="0"/>
          <w:color w:val="auto"/>
          <w:sz w:val="32"/>
          <w:szCs w:val="32"/>
          <w:shd w:val="clear" w:color="auto" w:fill="FFFFFF"/>
        </w:rPr>
        <w:t>（二）突出“三项抓手”，在提升监督水平中推进中医药事业高质量发展。</w:t>
      </w:r>
      <w:r>
        <w:rPr>
          <w:rFonts w:hint="default" w:ascii="Times New Roman" w:hAnsi="Times New Roman" w:eastAsia="方正仿宋简体" w:cs="Times New Roman"/>
          <w:b/>
          <w:bCs w:val="0"/>
          <w:color w:val="auto"/>
          <w:sz w:val="32"/>
          <w:szCs w:val="32"/>
          <w:lang w:bidi="ar-SA"/>
        </w:rPr>
        <w:t>一是注重以“学”提能。把中医药发展有关法律法规作为会前学法或专题讲座重要内容，采取走出去和请进来相结合，邀请省、市中医药管理局专家全面、深入解读中医药法律法规，切实提高常委会、专委会组成人员依法开展监督工作的能力本领，同时，促进全市各级各部门准确把握法律法规精神要义，明确各自职能职责，构建共抓中医药发展的良好格局。二是注重以“联”聚力。强化纵横两个方向的工作联动，不断拓展监督的广度与深度，放大监督效能。加强同省人大的汇报对接，认真做好省人大来宜开展中医药方面的调研，加强同市级部门的联动协作，与县（区）人大互通工作思路，找准共同切入点，联动开展监督，推动中医药监督工作上下同步、同频共振。各县（区）人大常委会通过深入调研，先后就中医药专业人才队伍建设、服务能力、财政投入、完善中医医疗服务价格动态调整机制等方面提出针对性意见建议，有力推动全市构建市县乡村四级中医治未病服务体系，更好发挥了中医治未病作用。三是注重以“专”增效。充分发挥教科文卫专业代表小组作用，搭建平台载体，激发代表履职主动性积极性，凝聚支持中医药高质量发展的智慧力量。2022年，市人大代表提出支持基础较好的三级乙等中医医疗机构提质升档的建议，引起有关方面高度重视，支持市中医医院引进岐黄学者杨明建设传承工作室，新建住院大楼等，该院获评国家三级甲等中医医院。2024年，先后组织全国、省、市人大代表调研卫生健康事业高质量发展等情况，听取市人民政府持续提升中医药传承创新发展水平的情况汇报，代表们在活动中提出的系列意见建议为市政府提供了重要工作参考。</w:t>
      </w:r>
    </w:p>
    <w:p w14:paraId="06C76056">
      <w:pPr>
        <w:keepLines w:val="0"/>
        <w:pageBreakBefore w:val="0"/>
        <w:shd w:val="clear"/>
        <w:kinsoku/>
        <w:wordWrap/>
        <w:topLinePunct w:val="0"/>
        <w:autoSpaceDE/>
        <w:autoSpaceDN/>
        <w:bidi w:val="0"/>
        <w:snapToGrid w:val="0"/>
        <w:spacing w:line="580" w:lineRule="exact"/>
        <w:ind w:firstLine="643" w:firstLineChars="200"/>
        <w:rPr>
          <w:rFonts w:hint="default" w:ascii="Times New Roman" w:hAnsi="Times New Roman" w:eastAsia="仿宋_GB2312" w:cs="Times New Roman"/>
          <w:b/>
          <w:bCs w:val="0"/>
          <w:color w:val="auto"/>
          <w:sz w:val="32"/>
          <w:szCs w:val="32"/>
        </w:rPr>
      </w:pPr>
      <w:r>
        <w:rPr>
          <w:rFonts w:hint="default" w:ascii="Times New Roman" w:hAnsi="Times New Roman" w:eastAsia="楷体_GB2312" w:cs="Times New Roman"/>
          <w:b/>
          <w:bCs w:val="0"/>
          <w:color w:val="auto"/>
          <w:sz w:val="32"/>
          <w:szCs w:val="32"/>
          <w:shd w:val="clear" w:color="auto" w:fill="FFFFFF"/>
        </w:rPr>
        <w:t>（三）聚焦“三项重点”，在增强监督实效中推进中医药事业高质量发展。</w:t>
      </w:r>
      <w:r>
        <w:rPr>
          <w:rFonts w:hint="default" w:ascii="Times New Roman" w:hAnsi="Times New Roman" w:eastAsia="方正仿宋简体" w:cs="Times New Roman"/>
          <w:b/>
          <w:bCs w:val="0"/>
          <w:color w:val="auto"/>
          <w:sz w:val="32"/>
          <w:szCs w:val="32"/>
          <w:lang w:bidi="ar-SA"/>
        </w:rPr>
        <w:t>一是围绕切实提高中医医疗服务能力，推动完善覆盖城乡的中医医疗服务网络。通过重点督办“统筹推进医疗卫生领域数字经济的建议”，视察调研中心镇建设、中医药发展情况等，及时掌握了解全市中医药工作取得的成效和困难问题，提出意见建议，推动建成省级重点中医专科8个，县域中医医疗次中心8个，2023年纳入国考的三级公立中医医院考核结果平均提升56位，全市三级中医医院数量居全省第2位，推动构建基于“活态大数据”的中医治未病服务体系，中医药服务更加便民惠民、可感可及。二是围绕全面提升中药产业发展水平，推动加强中药资源保护利用。积极参与、支持建立泛乌蒙山中医药传承创新发展联盟，推动加强川滇黔渝区域协调发展和资源开发利用。通过调研乡村振兴战略实施情况等，推进中药材规范化种养殖，促进中药工业转型升级，构建现代中药材流通体系。重点示范推广黄精、淫羊藿、仙茅等特色道地药材，采取“公司+基地”“公司+合作社+农户”等模式，推动中药材规模化种植。推动有关单位参与葛根国际标准制定，传统苗医药获国家专利18项，建成中药材溯源平台建设试点县2个。三是围绕大力弘扬中医药文化，推动发展中医药文化产业。通过调研科学技术进步法实施情况，办理代表建议等，聚焦中医理论、传染病中药新药研发等重点领域，推动“中医药+”新业态融合发展，促进乡村振兴、文化旅游、产业发展、研学实践相融并进。推动发展中医养生保健服务，创立“宜人本草”中医药大健康品牌。推动加强中医药理论方法继承、中医药传统知识保护与技术挖掘。宜宾中医药工作获省政府督查激励，建成省级中医药宣传文化教育基地3家、中医药健康旅游示范基地2家。</w:t>
      </w:r>
    </w:p>
    <w:p w14:paraId="663FD620">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p>
    <w:p w14:paraId="4C82C56B">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4848ACC9">
      <w:pPr>
        <w:keepLines w:val="0"/>
        <w:pageBreakBefore w:val="0"/>
        <w:shd w:val="clear"/>
        <w:kinsoku/>
        <w:wordWrap/>
        <w:topLinePunct w:val="0"/>
        <w:autoSpaceDE/>
        <w:autoSpaceDN/>
        <w:bidi w:val="0"/>
        <w:snapToGrid w:val="0"/>
        <w:spacing w:line="580" w:lineRule="exact"/>
        <w:ind w:firstLine="643" w:firstLineChars="200"/>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楷体_GB2312" w:cs="Times New Roman"/>
          <w:b/>
          <w:bCs w:val="0"/>
          <w:color w:val="auto"/>
          <w:kern w:val="0"/>
          <w:sz w:val="32"/>
          <w:szCs w:val="32"/>
          <w:shd w:val="clear" w:color="auto" w:fill="FFFFFF"/>
        </w:rPr>
        <w:t>启示一：坚持紧扣全局、服务中心是充分发挥人大职能作用的根本前提。</w:t>
      </w:r>
      <w:r>
        <w:rPr>
          <w:rFonts w:hint="default" w:ascii="Times New Roman" w:hAnsi="Times New Roman" w:eastAsia="方正仿宋简体" w:cs="Times New Roman"/>
          <w:b/>
          <w:bCs w:val="0"/>
          <w:color w:val="auto"/>
          <w:sz w:val="32"/>
          <w:szCs w:val="32"/>
          <w:lang w:bidi="ar-SA"/>
        </w:rPr>
        <w:t>人民代表大会制度作为我国的根本政治制度，其核心在于紧紧围绕党和国家的发展大局，服务经济社会发展。宜宾市人大常委会以“人大之为”护航宜宾中医药事业高质量发展，成功推动宜宾中医药事业和产业高质量发展跑出了“加速度”。这有力证明，人大工作必须始终坚持党的全面领导，发挥政治优势，围绕中心大局，全面履行好宪法和法律赋予的各项职责，以更优质的制度供给保障经济社会高质量发展，有为有位有威的人大工作之路就会越走越宽。</w:t>
      </w:r>
    </w:p>
    <w:p w14:paraId="3A8A76FB">
      <w:pPr>
        <w:keepLines w:val="0"/>
        <w:pageBreakBefore w:val="0"/>
        <w:shd w:val="clear"/>
        <w:kinsoku/>
        <w:wordWrap/>
        <w:topLinePunct w:val="0"/>
        <w:autoSpaceDE/>
        <w:autoSpaceDN/>
        <w:bidi w:val="0"/>
        <w:snapToGrid w:val="0"/>
        <w:spacing w:line="580" w:lineRule="exact"/>
        <w:ind w:firstLine="643" w:firstLineChars="200"/>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楷体_GB2312" w:cs="Times New Roman"/>
          <w:b/>
          <w:bCs w:val="0"/>
          <w:color w:val="auto"/>
          <w:kern w:val="0"/>
          <w:sz w:val="32"/>
          <w:szCs w:val="32"/>
          <w:shd w:val="clear" w:color="auto" w:fill="FFFFFF"/>
        </w:rPr>
        <w:t>启示二：坚持突出重点、持续跟踪是人大开展监督取得实效的关键所在。</w:t>
      </w:r>
      <w:r>
        <w:rPr>
          <w:rFonts w:hint="default" w:ascii="Times New Roman" w:hAnsi="Times New Roman" w:eastAsia="方正仿宋简体" w:cs="Times New Roman"/>
          <w:b/>
          <w:bCs w:val="0"/>
          <w:color w:val="auto"/>
          <w:sz w:val="32"/>
          <w:szCs w:val="32"/>
          <w:lang w:bidi="ar-SA"/>
        </w:rPr>
        <w:t>宜宾市人大常委会将宜宾中医药事业、产业、文化“三位一体”融合发展作为人大监督工作的发力点和切入点，助力宜宾中医药强市建设，推动宜宾中医药管理体系健全建强，在四川省全面推进国家中医药综合改革示范区和中医药强省建设中起到了先行先试、引领示范作用。这充分证明，人大监督工作要树牢发展导向、民生导向、问题导向，深入研究党中央的要求是什么、实践需要什么、人民群众期盼什么，把事关改革发展稳定全局的重大问题和人民群众普遍关注的突出问题作为监督工作的主攻方向，持续跟踪，保障人大监督工作督出实效。</w:t>
      </w:r>
    </w:p>
    <w:p w14:paraId="279C13F0">
      <w:pPr>
        <w:keepLines w:val="0"/>
        <w:pageBreakBefore w:val="0"/>
        <w:widowControl/>
        <w:shd w:val="clear"/>
        <w:kinsoku/>
        <w:wordWrap/>
        <w:topLinePunct w:val="0"/>
        <w:autoSpaceDE/>
        <w:autoSpaceDN/>
        <w:bidi w:val="0"/>
        <w:spacing w:line="560" w:lineRule="exact"/>
        <w:ind w:firstLine="643" w:firstLineChars="200"/>
        <w:rPr>
          <w:rFonts w:hint="default" w:ascii="Times New Roman" w:hAnsi="Times New Roman" w:eastAsia="方正仿宋简体" w:cs="Times New Roman"/>
          <w:b/>
          <w:bCs w:val="0"/>
          <w:color w:val="auto"/>
          <w:sz w:val="32"/>
          <w:szCs w:val="32"/>
          <w:lang w:bidi="ar-SA"/>
        </w:rPr>
      </w:pPr>
      <w:r>
        <w:rPr>
          <w:rFonts w:hint="default" w:ascii="Times New Roman" w:hAnsi="Times New Roman" w:eastAsia="楷体_GB2312" w:cs="Times New Roman"/>
          <w:b/>
          <w:bCs w:val="0"/>
          <w:color w:val="auto"/>
          <w:kern w:val="0"/>
          <w:sz w:val="32"/>
          <w:szCs w:val="32"/>
          <w:shd w:val="clear" w:color="auto" w:fill="FFFFFF"/>
        </w:rPr>
        <w:t>启示三：坚持联动互动、强化协作是人大依法履职行权的有效措施。</w:t>
      </w:r>
      <w:r>
        <w:rPr>
          <w:rFonts w:hint="default" w:ascii="Times New Roman" w:hAnsi="Times New Roman" w:eastAsia="方正仿宋简体" w:cs="Times New Roman"/>
          <w:b/>
          <w:bCs w:val="0"/>
          <w:color w:val="auto"/>
          <w:sz w:val="32"/>
          <w:szCs w:val="32"/>
          <w:lang w:bidi="ar-SA"/>
        </w:rPr>
        <w:t>坚持发展“一盘棋”，宜宾市人大常委会在监督工作中，注重点面结合，综合运用监督“组合拳”，拓展深化人大联动监督方式，切实加强与市级相关单位、县（区）人大常委会的沟通协作，寓支持于监督之中，通过有力有效的法律监督、工作监督，凝聚多方力量破解中医药发展组织领导、思想认识、责任落实、措施配套、要素保障等难题，充分发挥顶层设计和整体推进作用，才能真正推动相关决策部署落地见效。</w:t>
      </w:r>
    </w:p>
    <w:p w14:paraId="3AD5AE2E">
      <w:pPr>
        <w:keepLines w:val="0"/>
        <w:pageBreakBefore w:val="0"/>
        <w:shd w:val="clear"/>
        <w:kinsoku/>
        <w:wordWrap/>
        <w:topLinePunct w:val="0"/>
        <w:autoSpaceDE/>
        <w:autoSpaceDN/>
        <w:bidi w:val="0"/>
        <w:rPr>
          <w:rFonts w:hint="default" w:ascii="Times New Roman" w:hAnsi="Times New Roman" w:eastAsia="方正仿宋_GBK" w:cs="Times New Roman"/>
          <w:b/>
          <w:bCs w:val="0"/>
          <w:color w:val="auto"/>
          <w:sz w:val="32"/>
          <w:szCs w:val="32"/>
          <w:lang w:bidi="ar-SA"/>
        </w:rPr>
      </w:pPr>
      <w:r>
        <w:rPr>
          <w:rFonts w:hint="default" w:ascii="Times New Roman" w:hAnsi="Times New Roman" w:eastAsia="方正仿宋_GBK" w:cs="Times New Roman"/>
          <w:b/>
          <w:bCs w:val="0"/>
          <w:color w:val="auto"/>
          <w:sz w:val="32"/>
          <w:szCs w:val="32"/>
          <w:lang w:bidi="ar-SA"/>
        </w:rPr>
        <w:br w:type="page"/>
      </w:r>
    </w:p>
    <w:p w14:paraId="6CA4940D">
      <w:pPr>
        <w:pStyle w:val="12"/>
        <w:keepLines w:val="0"/>
        <w:pageBreakBefore w:val="0"/>
        <w:shd w:val="clear"/>
        <w:kinsoku/>
        <w:wordWrap/>
        <w:topLinePunct w:val="0"/>
        <w:autoSpaceDE/>
        <w:autoSpaceDN/>
        <w:bidi w:val="0"/>
        <w:rPr>
          <w:rFonts w:hint="default" w:ascii="Times New Roman" w:hAnsi="Times New Roman" w:cs="Times New Roman"/>
          <w:b/>
          <w:bCs w:val="0"/>
          <w:color w:val="auto"/>
        </w:rPr>
      </w:pPr>
    </w:p>
    <w:p w14:paraId="299900D4">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9" w:name="_Toc24206"/>
      <w:r>
        <w:rPr>
          <w:rFonts w:hint="default" w:ascii="Times New Roman" w:hAnsi="Times New Roman" w:eastAsia="方正小标宋简体" w:cs="Times New Roman"/>
          <w:b/>
          <w:bCs w:val="0"/>
          <w:color w:val="auto"/>
          <w:highlight w:val="none"/>
          <w:lang w:val="en-US" w:eastAsia="zh-CN"/>
        </w:rPr>
        <w:t>让群众更有“医”靠的人大力量</w:t>
      </w:r>
      <w:bookmarkEnd w:id="9"/>
    </w:p>
    <w:p w14:paraId="3F0C49EE">
      <w:pPr>
        <w:keepLines w:val="0"/>
        <w:pageBreakBefore w:val="0"/>
        <w:widowControl/>
        <w:shd w:val="clear"/>
        <w:kinsoku/>
        <w:wordWrap/>
        <w:topLinePunct w:val="0"/>
        <w:autoSpaceDE/>
        <w:autoSpaceDN/>
        <w:bidi w:val="0"/>
        <w:spacing w:line="640" w:lineRule="exact"/>
        <w:jc w:val="center"/>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——小切口、大纵深助推公立医院高质量发展</w:t>
      </w:r>
    </w:p>
    <w:p w14:paraId="23BEEB03">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center"/>
        <w:textAlignment w:val="auto"/>
        <w:rPr>
          <w:rFonts w:hint="default" w:ascii="Times New Roman" w:hAnsi="Times New Roman" w:eastAsia="方正仿宋简体" w:cs="Times New Roman"/>
          <w:b/>
          <w:bCs w:val="0"/>
          <w:color w:val="auto"/>
          <w:spacing w:val="4"/>
          <w:sz w:val="32"/>
          <w:szCs w:val="32"/>
          <w:lang w:eastAsia="zh-CN"/>
        </w:rPr>
      </w:pPr>
      <w:r>
        <w:rPr>
          <w:rFonts w:hint="default" w:ascii="Times New Roman" w:hAnsi="Times New Roman" w:eastAsia="方正楷体简体" w:cs="Times New Roman"/>
          <w:b/>
          <w:bCs w:val="0"/>
          <w:color w:val="auto"/>
          <w:sz w:val="32"/>
          <w:szCs w:val="32"/>
          <w:lang w:eastAsia="zh-CN"/>
        </w:rPr>
        <w:t>达州市人大常委会</w:t>
      </w:r>
    </w:p>
    <w:p w14:paraId="671A6E36">
      <w:pPr>
        <w:keepLines w:val="0"/>
        <w:pageBreakBefore w:val="0"/>
        <w:shd w:val="clear"/>
        <w:kinsoku/>
        <w:wordWrap/>
        <w:topLinePunct w:val="0"/>
        <w:autoSpaceDE/>
        <w:autoSpaceDN/>
        <w:bidi w:val="0"/>
        <w:spacing w:line="580" w:lineRule="exact"/>
        <w:ind w:firstLine="660" w:firstLineChars="200"/>
        <w:rPr>
          <w:rFonts w:hint="default" w:ascii="Times New Roman" w:hAnsi="Times New Roman" w:eastAsia="方正仿宋_GBK" w:cs="Times New Roman"/>
          <w:b/>
          <w:bCs w:val="0"/>
          <w:snapToGrid w:val="0"/>
          <w:color w:val="auto"/>
          <w:kern w:val="0"/>
          <w:sz w:val="33"/>
          <w:szCs w:val="33"/>
          <w:lang w:eastAsia="zh-CN"/>
        </w:rPr>
      </w:pPr>
    </w:p>
    <w:p w14:paraId="58CDB81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62E4D263">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仿宋简体" w:cs="Times New Roman"/>
          <w:b/>
          <w:bCs w:val="0"/>
          <w:snapToGrid w:val="0"/>
          <w:color w:val="auto"/>
          <w:kern w:val="0"/>
          <w:sz w:val="32"/>
          <w:szCs w:val="32"/>
          <w:lang w:val="en-US" w:eastAsia="zh-CN"/>
        </w:rPr>
        <w:t>近年来，因全球经济持续下滑和新冠肺炎疫情多轮冲击的双重压力，广大群众收入下降、出行受限、就医不便、焦虑上升，一定程度上心存怨气，急需疏导排解。群众之所望即人大之所向，群众之所急即人大之所谋。达州市人大常委会在市委的坚强领导下，坚持“民生人大”导向，果断聚焦医疗卫生领域，小切口破题监督，大纵深支持发展，促进达州公立医院加快突破。达州入选全省“推动公立医院高质量发展成效明显的市（州）”，卫生健康4项工作获国家级表扬、8项工作受省级表彰，实现了在全国有影响、在全省有地位的目标。</w:t>
      </w:r>
    </w:p>
    <w:p w14:paraId="41E3EA00">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val="0"/>
          <w:snapToGrid w:val="0"/>
          <w:color w:val="auto"/>
          <w:kern w:val="0"/>
          <w:sz w:val="32"/>
          <w:szCs w:val="32"/>
          <w:lang w:eastAsia="zh-CN"/>
        </w:rPr>
      </w:pPr>
    </w:p>
    <w:p w14:paraId="38CAFCC3">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6D383202">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楷体简体" w:cs="Times New Roman"/>
          <w:b/>
          <w:bCs w:val="0"/>
          <w:color w:val="auto"/>
          <w:spacing w:val="4"/>
          <w:sz w:val="32"/>
          <w:szCs w:val="32"/>
          <w:lang w:eastAsia="zh-CN"/>
        </w:rPr>
        <w:t>（一）</w:t>
      </w:r>
      <w:r>
        <w:rPr>
          <w:rFonts w:hint="default" w:ascii="Times New Roman" w:hAnsi="Times New Roman" w:eastAsia="方正楷体简体" w:cs="Times New Roman"/>
          <w:b/>
          <w:bCs w:val="0"/>
          <w:color w:val="auto"/>
          <w:spacing w:val="4"/>
          <w:sz w:val="32"/>
          <w:szCs w:val="32"/>
        </w:rPr>
        <w:t>督就医之难，</w:t>
      </w:r>
      <w:r>
        <w:rPr>
          <w:rFonts w:hint="default" w:ascii="Times New Roman" w:hAnsi="Times New Roman" w:eastAsia="方正楷体简体" w:cs="Times New Roman"/>
          <w:b/>
          <w:bCs w:val="0"/>
          <w:color w:val="auto"/>
          <w:spacing w:val="4"/>
          <w:sz w:val="32"/>
          <w:szCs w:val="32"/>
          <w:lang w:eastAsia="zh-CN"/>
        </w:rPr>
        <w:t>解群众所盼。</w:t>
      </w:r>
      <w:r>
        <w:rPr>
          <w:rFonts w:hint="default" w:ascii="Times New Roman" w:hAnsi="Times New Roman" w:eastAsia="方正仿宋简体" w:cs="Times New Roman"/>
          <w:b/>
          <w:bCs w:val="0"/>
          <w:snapToGrid w:val="0"/>
          <w:color w:val="auto"/>
          <w:spacing w:val="0"/>
          <w:kern w:val="0"/>
          <w:sz w:val="32"/>
          <w:szCs w:val="32"/>
          <w:lang w:val="en-US" w:eastAsia="zh-CN" w:bidi="ar-SA"/>
        </w:rPr>
        <w:t>“排队2小时看病2分钟”、“医生护士冷冰冰”这些</w:t>
      </w:r>
      <w:r>
        <w:rPr>
          <w:rFonts w:hint="default" w:ascii="Times New Roman" w:hAnsi="Times New Roman" w:eastAsia="方正仿宋简体" w:cs="Times New Roman"/>
          <w:b/>
          <w:bCs w:val="0"/>
          <w:color w:val="auto"/>
          <w:spacing w:val="4"/>
          <w:sz w:val="32"/>
          <w:szCs w:val="32"/>
        </w:rPr>
        <w:t>虽然看上去是小事，但</w:t>
      </w:r>
      <w:r>
        <w:rPr>
          <w:rFonts w:hint="default" w:ascii="Times New Roman" w:hAnsi="Times New Roman" w:eastAsia="方正仿宋简体" w:cs="Times New Roman"/>
          <w:b/>
          <w:bCs w:val="0"/>
          <w:color w:val="auto"/>
          <w:spacing w:val="4"/>
          <w:sz w:val="32"/>
          <w:szCs w:val="32"/>
          <w:lang w:eastAsia="zh-CN"/>
        </w:rPr>
        <w:t>实际是</w:t>
      </w:r>
      <w:r>
        <w:rPr>
          <w:rFonts w:hint="default" w:ascii="Times New Roman" w:hAnsi="Times New Roman" w:eastAsia="方正仿宋简体" w:cs="Times New Roman"/>
          <w:b/>
          <w:bCs w:val="0"/>
          <w:color w:val="auto"/>
          <w:spacing w:val="4"/>
          <w:sz w:val="32"/>
          <w:szCs w:val="32"/>
        </w:rPr>
        <w:t>群众“医”靠的大事。</w:t>
      </w:r>
      <w:r>
        <w:rPr>
          <w:rFonts w:hint="default" w:ascii="Times New Roman" w:hAnsi="Times New Roman" w:eastAsia="方正仿宋简体" w:cs="Times New Roman"/>
          <w:b/>
          <w:bCs w:val="0"/>
          <w:color w:val="auto"/>
          <w:spacing w:val="4"/>
          <w:sz w:val="32"/>
          <w:szCs w:val="32"/>
          <w:lang w:val="en-US" w:eastAsia="zh-CN"/>
        </w:rPr>
        <w:t>2022年，市人大常委会小切口选择“群众就医体验大提升”大马力开展专项监督，拉开了达州公立医院高质量发展序幕。</w:t>
      </w:r>
    </w:p>
    <w:p w14:paraId="63843B0D">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1．多角度加压力。市县人大分别组建“提升群众就医体验”监督工作专班，市县人大常委会主任靠前指挥、一线督导，抽调33名代表专业小组成员、185名市县乡三级人大代表全过程参与，壮大监督力量。市县人大同步行动，市人大督查市卫健委和27个二级以上公立医院，县人大督查187个乡镇卫生院，全覆盖监督对象。针对就医环境、就医流程、便民服务等五个方面重点推进，划分4大阶段16个环节贯穿全年，延长监督时间。</w:t>
      </w:r>
    </w:p>
    <w:p w14:paraId="28EA6888">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2.多维度找问题。重点收集书记信箱、12345政务服务热线、凤凰山下论坛等平台关于医疗服务的投诉信息174条；采用“四不两直”方式开展4轮暗访263家医院931个点位，排查出就医流程繁琐、医检互认困难等5个方面问题245个；委托国家统计局达州调查队开展2轮就医满意度第三方调查，调查指标16个覆盖患者2954名，梳理出服务态度生硬、医疗设备落后等6个方面问题。通过一线监督找出降低群众就医体验感获得感的难点、堵点、卡点问题，原汁原味将调查结果和暗访情况反馈市委、市政府和市卫健委，倒逼落后区县和医院打好“翻身仗”。</w:t>
      </w:r>
    </w:p>
    <w:p w14:paraId="43CEBE4B">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通过专项监督，全市门诊和住院患者满意度跃升全省第1和第3位，收获了全市广大群众普遍好评，被省人大和市委点名表扬。</w:t>
      </w:r>
    </w:p>
    <w:p w14:paraId="67DA55CE">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（二）献务实之策，聚高端人才。</w:t>
      </w:r>
      <w:r>
        <w:rPr>
          <w:rFonts w:hint="default" w:ascii="Times New Roman" w:hAnsi="Times New Roman" w:eastAsia="方正仿宋简体" w:cs="Times New Roman"/>
          <w:b/>
          <w:bCs w:val="0"/>
          <w:color w:val="auto"/>
          <w:spacing w:val="4"/>
          <w:sz w:val="32"/>
          <w:szCs w:val="32"/>
          <w:lang w:val="en-US" w:eastAsia="zh-CN"/>
        </w:rPr>
        <w:t>市人大常委会积极贯彻市委人才强市战略，针对“高精尖”人才匮乏问题，千方百计厚植人才“成长沃土”，激活人才队伍“一池春水”。</w:t>
      </w:r>
    </w:p>
    <w:p w14:paraId="31EA4679">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1.为人才立节日。2022年，市政府向市人大常委会报送设立达州人才节的议案，市人大常委会作出将9月27日设立为达州人才节的决定，奋力打造引才洼地。在人才节上，全市卫健系统1人获“市长人才奖”、4人入选“十大科技未来之星和科技创新人物”、6人入选“巴渠名医”。</w:t>
      </w:r>
    </w:p>
    <w:p w14:paraId="2A98F655">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2.帮人才出政策。2023年，市人大常委会广泛收集人大代表关于人才工作的意见建议，助力市委出台《推动市级公立医院高质量发展十条措施》和《加快构建达州市公立医院人才高地的十条措施》，助力市委引进急需紧缺人才“一人一策”和打造“编制+员额”试点、开展达州籍医疗专家“我为家乡做件事”活动，增强了发展底气和动能。</w:t>
      </w:r>
    </w:p>
    <w:p w14:paraId="7016C34E">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2021年，全市拥有医疗卫生硕博人才531人位列7个区域中心城市末位。经3年努力，柔性回引达州籍专家32人，硕博人才总量突破千人跻身全省前5，经验做法被全国公立医院高质量发展大会视频重点推介。</w:t>
      </w:r>
    </w:p>
    <w:p w14:paraId="6FF3B25B">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（三）架合作之桥，引优质资源。</w:t>
      </w:r>
      <w:r>
        <w:rPr>
          <w:rFonts w:hint="default" w:ascii="Times New Roman" w:hAnsi="Times New Roman" w:eastAsia="方正仿宋简体" w:cs="Times New Roman"/>
          <w:b/>
          <w:bCs w:val="0"/>
          <w:color w:val="auto"/>
          <w:spacing w:val="4"/>
          <w:sz w:val="32"/>
          <w:szCs w:val="32"/>
          <w:lang w:val="en-US" w:eastAsia="zh-CN"/>
        </w:rPr>
        <w:t>2023年，全市启动优质医疗资源引进工程。市人大常委会主动推荐1名人大卸任领导干部担任引优小组副组长，充分发挥其专业、经验、人脉优势牵线搭桥，助力达州扩大医疗卫生“朋友圈”。</w:t>
      </w:r>
    </w:p>
    <w:p w14:paraId="6C04644F">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1.荣获发展先行市。市引优小组多次向省卫健委汇报争取，促成委市签署共建协议，达州成为首批委市共建卫生健康事业高质量发展先行市，并获得省卫健委量身订做的全省唯一“区域医疗健康中心”政策套餐。市引优小组助推达州在全省率先召开公立医院高质量发展大会、启动医药领域突出问题系统治理，创造了达州经验，提供了达州样板。</w:t>
      </w:r>
    </w:p>
    <w:p w14:paraId="66659F04">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2.加盟省人民医院。市引优小组连续赴省人民医院沟通对接，促成双方合作新建一所由省人民医院全面托管的首家地方医院—省人民医院川东医院，并通过3年时间升级成为专科优势明显、服务达州辐射周边的三甲医院和川渝陕接合部疑难重症救治中心。2024年7月，川东医院已全面开放运营。</w:t>
      </w:r>
    </w:p>
    <w:p w14:paraId="0F4E9297">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3.联姻浙大二院。市引优小组不断赴浙江大学医学院附属第二医院汇报争取敲定合作意向，诚挚邀请浙大二院考察团赴达州踩点论证，促成双方签订共建浙大二院达州医院合作协议，携手打造第六批国家区域医疗中心。</w:t>
      </w:r>
    </w:p>
    <w:p w14:paraId="02A626ED">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通过向上争取，达州成功创建国家级临床重点专科1个、省级临床重点专科7个，位列全省第6、区域中心城市第3，成功打造万达开区域医疗合作“共享圈”。公立医院高质量发展情况获《中国纪实》专题报道。</w:t>
      </w:r>
    </w:p>
    <w:p w14:paraId="7C273DFC">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（四）建管用之言，开对症良方。</w:t>
      </w:r>
      <w:r>
        <w:rPr>
          <w:rFonts w:hint="default" w:ascii="Times New Roman" w:hAnsi="Times New Roman" w:eastAsia="方正仿宋简体" w:cs="Times New Roman"/>
          <w:b/>
          <w:bCs w:val="0"/>
          <w:color w:val="auto"/>
          <w:spacing w:val="4"/>
          <w:sz w:val="32"/>
          <w:szCs w:val="32"/>
          <w:lang w:val="en-US" w:eastAsia="zh-CN"/>
        </w:rPr>
        <w:t>2024年，市人大常委会专项监督公立医院高质量发展情况，回头看“群众就医体验大提升”工作。通过全面体检，找准了制约发展的症结，开出了加速提升的良方。</w:t>
      </w:r>
    </w:p>
    <w:p w14:paraId="712F9F40">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1.多渠道收意见。实地调研重点公立医院、委托县级人大同步调研收集意见27条；以“我为达州公立医院高质量发展献一策”为主题，借助全市190个乡镇代表之家和达州日报等平台发布公告，面向人大代表和全体市民征求建议1463条；在市五届人大常委会第十九次会议审议发言收集意见33条。通过多渠道收集意见，清晰掌握了制约公立医院发展的症结。</w:t>
      </w:r>
    </w:p>
    <w:p w14:paraId="139A44C6">
      <w:pPr>
        <w:keepNext w:val="0"/>
        <w:keepLines w:val="0"/>
        <w:pageBreakBefore w:val="0"/>
        <w:widowControl w:val="0"/>
        <w:kinsoku/>
        <w:wordWrap/>
        <w:overflowPunct/>
        <w:topLinePunct w:val="0"/>
        <w:autoSpaceDE/>
        <w:autoSpaceDN/>
        <w:bidi w:val="0"/>
        <w:adjustRightInd/>
        <w:snapToGrid/>
        <w:spacing w:line="578" w:lineRule="exact"/>
        <w:ind w:firstLine="659" w:firstLineChars="200"/>
        <w:jc w:val="both"/>
        <w:textAlignment w:val="auto"/>
        <w:rPr>
          <w:rFonts w:hint="default" w:ascii="Times New Roman" w:hAnsi="Times New Roman" w:eastAsia="方正仿宋简体" w:cs="Times New Roman"/>
          <w:b/>
          <w:bCs w:val="0"/>
          <w:color w:val="auto"/>
          <w:spacing w:val="4"/>
          <w:sz w:val="32"/>
          <w:szCs w:val="32"/>
          <w:lang w:val="en-US" w:eastAsia="zh-CN"/>
        </w:rPr>
      </w:pPr>
      <w:r>
        <w:rPr>
          <w:rFonts w:hint="default" w:ascii="Times New Roman" w:hAnsi="Times New Roman" w:eastAsia="方正仿宋简体" w:cs="Times New Roman"/>
          <w:b/>
          <w:bCs w:val="0"/>
          <w:color w:val="auto"/>
          <w:spacing w:val="4"/>
          <w:sz w:val="32"/>
          <w:szCs w:val="32"/>
          <w:lang w:val="en-US" w:eastAsia="zh-CN"/>
        </w:rPr>
        <w:t>2.拉清单抓督办。创新审议意见附问题清单模式，筛选最紧迫、最现实的问题进行分组督办，通过专题督办会，解决了新医疗技术收费条码更新、医院回收医保欠款等问题。挂牌督办“群众就医体验大提升”个别反弹问题，助推患者满意度考核全省排名再提升。督促市卫健委对全市公立医院发展情况全面梳理，“一院一策”精准定制发展规划，着力构建高质量发展新格局。</w:t>
      </w:r>
    </w:p>
    <w:p w14:paraId="3306D2A9">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val="0"/>
          <w:color w:val="auto"/>
          <w:kern w:val="2"/>
          <w:sz w:val="32"/>
          <w:szCs w:val="32"/>
          <w:lang w:val="en-US" w:eastAsia="zh-CN" w:bidi="ar-SA"/>
        </w:rPr>
      </w:pPr>
    </w:p>
    <w:p w14:paraId="09C4A75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17DE7F8D">
      <w:pPr>
        <w:keepNext w:val="0"/>
        <w:keepLines w:val="0"/>
        <w:pageBreakBefore w:val="0"/>
        <w:widowControl w:val="0"/>
        <w:shd w:val="clear"/>
        <w:kinsoku/>
        <w:wordWrap/>
        <w:overflowPunct/>
        <w:topLinePunct w:val="0"/>
        <w:autoSpaceDE/>
        <w:autoSpaceDN/>
        <w:bidi w:val="0"/>
        <w:adjustRightInd/>
        <w:snapToGrid/>
        <w:spacing w:line="580" w:lineRule="exact"/>
        <w:ind w:firstLine="659"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（一）要精选监督题目。</w:t>
      </w:r>
      <w:r>
        <w:rPr>
          <w:rFonts w:hint="default" w:ascii="Times New Roman" w:hAnsi="Times New Roman" w:eastAsia="方正仿宋简体" w:cs="Times New Roman"/>
          <w:b/>
          <w:bCs w:val="0"/>
          <w:snapToGrid w:val="0"/>
          <w:color w:val="auto"/>
          <w:kern w:val="0"/>
          <w:sz w:val="32"/>
          <w:szCs w:val="32"/>
          <w:lang w:val="en-US" w:eastAsia="zh-CN"/>
        </w:rPr>
        <w:t>人大监督工作选题在精不在多，建议选题要紧贴党委关注、群众关心、时事热点，不能盲目选择、随意选择、过多选择。</w:t>
      </w:r>
    </w:p>
    <w:p w14:paraId="4B2B8F96">
      <w:pPr>
        <w:keepNext w:val="0"/>
        <w:keepLines w:val="0"/>
        <w:pageBreakBefore w:val="0"/>
        <w:widowControl w:val="0"/>
        <w:shd w:val="clear"/>
        <w:kinsoku/>
        <w:wordWrap/>
        <w:overflowPunct/>
        <w:topLinePunct w:val="0"/>
        <w:autoSpaceDE/>
        <w:autoSpaceDN/>
        <w:bidi w:val="0"/>
        <w:adjustRightInd/>
        <w:snapToGrid/>
        <w:spacing w:line="580" w:lineRule="exact"/>
        <w:ind w:firstLine="659"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（二）要小切口监督</w:t>
      </w:r>
      <w:r>
        <w:rPr>
          <w:rFonts w:hint="default" w:ascii="Times New Roman" w:hAnsi="Times New Roman" w:eastAsia="方正仿宋简体" w:cs="Times New Roman"/>
          <w:b/>
          <w:bCs w:val="0"/>
          <w:snapToGrid w:val="0"/>
          <w:color w:val="auto"/>
          <w:kern w:val="0"/>
          <w:sz w:val="32"/>
          <w:szCs w:val="32"/>
          <w:lang w:val="en-US" w:eastAsia="zh-CN"/>
        </w:rPr>
        <w:t>。监督工作不能贪大求全，面面俱到，希望通过一次视察调研就能解决所有问题不现实，建议小切口选题破题解题，真正解决一批让群众可感可及的具体问题。</w:t>
      </w:r>
    </w:p>
    <w:p w14:paraId="49F80546">
      <w:pPr>
        <w:keepNext w:val="0"/>
        <w:keepLines w:val="0"/>
        <w:pageBreakBefore w:val="0"/>
        <w:widowControl w:val="0"/>
        <w:shd w:val="clear"/>
        <w:kinsoku/>
        <w:wordWrap/>
        <w:overflowPunct/>
        <w:topLinePunct w:val="0"/>
        <w:autoSpaceDE/>
        <w:autoSpaceDN/>
        <w:bidi w:val="0"/>
        <w:adjustRightInd/>
        <w:snapToGrid/>
        <w:spacing w:line="580" w:lineRule="exact"/>
        <w:ind w:firstLine="659"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（三）要持续纵深监督。</w:t>
      </w:r>
      <w:r>
        <w:rPr>
          <w:rFonts w:hint="default" w:ascii="Times New Roman" w:hAnsi="Times New Roman" w:eastAsia="方正仿宋简体" w:cs="Times New Roman"/>
          <w:b/>
          <w:bCs w:val="0"/>
          <w:snapToGrid w:val="0"/>
          <w:color w:val="auto"/>
          <w:kern w:val="0"/>
          <w:sz w:val="32"/>
          <w:szCs w:val="32"/>
          <w:lang w:val="en-US" w:eastAsia="zh-CN"/>
        </w:rPr>
        <w:t>监督工作如果断断续续、蜻蜓点水、点到为止，则问题难解、成效难显。建议持续不断纵深监督，比如某个专委会一年重点抓一个主题、一届重点抓一件大事，长久抓，抓长久，实现监督一个就到位一个。</w:t>
      </w:r>
    </w:p>
    <w:p w14:paraId="6F0F7CB2">
      <w:pPr>
        <w:keepNext w:val="0"/>
        <w:keepLines w:val="0"/>
        <w:pageBreakBefore w:val="0"/>
        <w:widowControl w:val="0"/>
        <w:shd w:val="clear"/>
        <w:kinsoku/>
        <w:wordWrap/>
        <w:overflowPunct/>
        <w:topLinePunct w:val="0"/>
        <w:autoSpaceDE/>
        <w:autoSpaceDN/>
        <w:bidi w:val="0"/>
        <w:adjustRightInd/>
        <w:snapToGrid/>
        <w:spacing w:line="580" w:lineRule="exact"/>
        <w:ind w:firstLine="659" w:firstLineChars="200"/>
        <w:textAlignment w:val="auto"/>
        <w:rPr>
          <w:rFonts w:hint="default" w:ascii="Times New Roman" w:hAnsi="Times New Roman" w:eastAsia="方正仿宋_GBK" w:cs="Times New Roman"/>
          <w:b/>
          <w:bCs w:val="0"/>
          <w:color w:val="auto"/>
          <w:spacing w:val="4"/>
          <w:sz w:val="32"/>
          <w:szCs w:val="32"/>
          <w:lang w:val="en-US" w:eastAsia="zh-CN"/>
        </w:rPr>
      </w:pPr>
      <w:r>
        <w:rPr>
          <w:rFonts w:hint="default" w:ascii="Times New Roman" w:hAnsi="Times New Roman" w:eastAsia="方正楷体简体" w:cs="Times New Roman"/>
          <w:b/>
          <w:bCs w:val="0"/>
          <w:color w:val="auto"/>
          <w:spacing w:val="4"/>
          <w:sz w:val="32"/>
          <w:szCs w:val="32"/>
          <w:lang w:val="en-US" w:eastAsia="zh-CN"/>
        </w:rPr>
        <w:t>（四）要探索监督新方法。</w:t>
      </w:r>
      <w:r>
        <w:rPr>
          <w:rFonts w:hint="default" w:ascii="Times New Roman" w:hAnsi="Times New Roman" w:eastAsia="方正仿宋简体" w:cs="Times New Roman"/>
          <w:b/>
          <w:bCs w:val="0"/>
          <w:snapToGrid w:val="0"/>
          <w:color w:val="auto"/>
          <w:kern w:val="0"/>
          <w:sz w:val="32"/>
          <w:szCs w:val="32"/>
          <w:lang w:val="en-US" w:eastAsia="zh-CN"/>
        </w:rPr>
        <w:t>视察调研和人大常委会审议发现了不少问题，“一府一委两院”回复审议意见办理情况后，各地人大也很少去实地督查验证，成为了“空对空的文字游戏”。因此，建议审议意见办理结束后，人大应组建以常委会委员和人大代表为主的验收组，进行实地核查督办，让群众和部门感受到人大监督的权威和压力。</w:t>
      </w:r>
    </w:p>
    <w:p w14:paraId="1B193578">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p>
    <w:p w14:paraId="3E8B8639">
      <w:pPr>
        <w:keepLines w:val="0"/>
        <w:pageBreakBefore w:val="0"/>
        <w:shd w:val="clear"/>
        <w:kinsoku/>
        <w:wordWrap/>
        <w:topLinePunct w:val="0"/>
        <w:autoSpaceDE/>
        <w:autoSpaceDN/>
        <w:bidi w:val="0"/>
        <w:rPr>
          <w:rFonts w:hint="default" w:ascii="Times New Roman" w:hAnsi="Times New Roman" w:eastAsia="方正仿宋简体" w:cs="Times New Roman"/>
          <w:b/>
          <w:bCs w:val="0"/>
          <w:snapToGrid w:val="0"/>
          <w:color w:val="auto"/>
          <w:kern w:val="0"/>
          <w:sz w:val="32"/>
          <w:szCs w:val="32"/>
          <w:lang w:val="en-US" w:eastAsia="zh-CN"/>
        </w:rPr>
      </w:pPr>
      <w:r>
        <w:rPr>
          <w:rFonts w:hint="default" w:ascii="Times New Roman" w:hAnsi="Times New Roman" w:eastAsia="方正仿宋简体" w:cs="Times New Roman"/>
          <w:b/>
          <w:bCs w:val="0"/>
          <w:snapToGrid w:val="0"/>
          <w:color w:val="auto"/>
          <w:kern w:val="0"/>
          <w:sz w:val="32"/>
          <w:szCs w:val="32"/>
          <w:lang w:val="en-US" w:eastAsia="zh-CN"/>
        </w:rPr>
        <w:br w:type="page"/>
      </w:r>
    </w:p>
    <w:p w14:paraId="107CA114">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snapToGrid w:val="0"/>
          <w:color w:val="auto"/>
          <w:kern w:val="0"/>
          <w:sz w:val="32"/>
          <w:szCs w:val="32"/>
          <w:lang w:val="en-US" w:eastAsia="zh-CN"/>
        </w:rPr>
      </w:pPr>
    </w:p>
    <w:p w14:paraId="2861DC39">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10" w:name="_Toc22182"/>
      <w:r>
        <w:rPr>
          <w:rFonts w:hint="default" w:ascii="Times New Roman" w:hAnsi="Times New Roman" w:eastAsia="方正小标宋简体" w:cs="Times New Roman"/>
          <w:b/>
          <w:bCs w:val="0"/>
          <w:color w:val="auto"/>
          <w:highlight w:val="none"/>
          <w:lang w:val="en-US" w:eastAsia="zh-CN"/>
        </w:rPr>
        <w:t>“十步法”发挥教育专业代表小组作用</w:t>
      </w:r>
      <w:r>
        <w:rPr>
          <w:rFonts w:hint="default" w:ascii="Times New Roman" w:hAnsi="Times New Roman" w:eastAsia="方正小标宋简体" w:cs="Times New Roman"/>
          <w:b/>
          <w:bCs w:val="0"/>
          <w:color w:val="auto"/>
          <w:highlight w:val="none"/>
          <w:lang w:val="en-US" w:eastAsia="zh-CN"/>
        </w:rPr>
        <w:br w:type="textWrapping"/>
      </w:r>
      <w:r>
        <w:rPr>
          <w:rFonts w:hint="default" w:ascii="Times New Roman" w:hAnsi="Times New Roman" w:eastAsia="方正小标宋简体" w:cs="Times New Roman"/>
          <w:b/>
          <w:bCs w:val="0"/>
          <w:color w:val="auto"/>
          <w:highlight w:val="none"/>
          <w:lang w:val="en-US" w:eastAsia="zh-CN"/>
        </w:rPr>
        <w:t>有力提升代表建议办理质效</w:t>
      </w:r>
      <w:bookmarkEnd w:id="10"/>
    </w:p>
    <w:p w14:paraId="2798502A">
      <w:pPr>
        <w:keepNext w:val="0"/>
        <w:keepLines w:val="0"/>
        <w:pageBreakBefore w:val="0"/>
        <w:widowControl w:val="0"/>
        <w:shd w:val="clear"/>
        <w:kinsoku/>
        <w:wordWrap/>
        <w:overflowPunct/>
        <w:topLinePunct w:val="0"/>
        <w:autoSpaceDE/>
        <w:autoSpaceDN/>
        <w:bidi w:val="0"/>
        <w:adjustRightInd/>
        <w:snapToGrid/>
        <w:spacing w:line="578" w:lineRule="exact"/>
        <w:ind w:firstLine="643" w:firstLineChars="200"/>
        <w:jc w:val="center"/>
        <w:textAlignment w:val="auto"/>
        <w:rPr>
          <w:rFonts w:hint="default" w:ascii="Times New Roman" w:hAnsi="Times New Roman" w:eastAsia="方正仿宋简体" w:cs="Times New Roman"/>
          <w:b/>
          <w:bCs w:val="0"/>
          <w:color w:val="auto"/>
          <w:spacing w:val="4"/>
          <w:sz w:val="32"/>
          <w:szCs w:val="32"/>
          <w:lang w:eastAsia="zh-CN"/>
        </w:rPr>
      </w:pPr>
      <w:r>
        <w:rPr>
          <w:rFonts w:hint="default" w:ascii="Times New Roman" w:hAnsi="Times New Roman" w:eastAsia="方正楷体简体" w:cs="Times New Roman"/>
          <w:b/>
          <w:bCs w:val="0"/>
          <w:color w:val="auto"/>
          <w:sz w:val="32"/>
          <w:szCs w:val="32"/>
          <w:lang w:eastAsia="zh-CN"/>
        </w:rPr>
        <w:t>巴中市人大常委会</w:t>
      </w:r>
    </w:p>
    <w:p w14:paraId="410B61C7">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p>
    <w:p w14:paraId="011437F2">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4D0740E1">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《代表法》规定，代表在闭会期间的活动以集体活动为主，以代表小组活动为基本形式，各级人民代表大会代表可以按照便于组织和开展活动的原则组成代表小组。</w:t>
      </w:r>
      <w:r>
        <w:rPr>
          <w:rFonts w:hint="default" w:ascii="Times New Roman" w:hAnsi="Times New Roman" w:eastAsia="方正仿宋简体" w:cs="Times New Roman"/>
          <w:b/>
          <w:bCs w:val="0"/>
          <w:color w:val="auto"/>
          <w:sz w:val="32"/>
          <w:szCs w:val="32"/>
          <w:lang w:val="en-US" w:eastAsia="zh-CN"/>
        </w:rPr>
        <w:t>为</w:t>
      </w:r>
      <w:r>
        <w:rPr>
          <w:rFonts w:hint="default" w:ascii="Times New Roman" w:hAnsi="Times New Roman" w:eastAsia="方正仿宋简体" w:cs="Times New Roman"/>
          <w:b/>
          <w:bCs w:val="0"/>
          <w:color w:val="auto"/>
          <w:sz w:val="32"/>
          <w:szCs w:val="32"/>
        </w:rPr>
        <w:t>充分发挥专业领域代表的专业优势，</w:t>
      </w:r>
      <w:r>
        <w:rPr>
          <w:rFonts w:hint="default" w:ascii="Times New Roman" w:hAnsi="Times New Roman" w:eastAsia="方正仿宋简体" w:cs="Times New Roman"/>
          <w:b/>
          <w:bCs w:val="0"/>
          <w:color w:val="auto"/>
          <w:sz w:val="32"/>
          <w:szCs w:val="32"/>
          <w:lang w:val="en-US" w:eastAsia="zh-CN"/>
        </w:rPr>
        <w:t>巴中</w:t>
      </w:r>
      <w:r>
        <w:rPr>
          <w:rFonts w:hint="default" w:ascii="Times New Roman" w:hAnsi="Times New Roman" w:eastAsia="方正仿宋简体" w:cs="Times New Roman"/>
          <w:b/>
          <w:bCs w:val="0"/>
          <w:color w:val="auto"/>
          <w:sz w:val="32"/>
          <w:szCs w:val="32"/>
        </w:rPr>
        <w:t>市人大常委会组建教育、卫生、交通等17个专业代表小组，全过程参与代表建议提出、督办、评价，</w:t>
      </w:r>
      <w:r>
        <w:rPr>
          <w:rFonts w:hint="default" w:ascii="Times New Roman" w:hAnsi="Times New Roman" w:eastAsia="方正仿宋简体" w:cs="Times New Roman"/>
          <w:b/>
          <w:bCs w:val="0"/>
          <w:color w:val="auto"/>
          <w:sz w:val="32"/>
          <w:szCs w:val="32"/>
          <w:lang w:val="en-US" w:eastAsia="zh-CN"/>
        </w:rPr>
        <w:t>有效破解</w:t>
      </w:r>
      <w:r>
        <w:rPr>
          <w:rFonts w:hint="default" w:ascii="Times New Roman" w:hAnsi="Times New Roman" w:eastAsia="方正仿宋简体" w:cs="Times New Roman"/>
          <w:b/>
          <w:bCs w:val="0"/>
          <w:color w:val="auto"/>
          <w:sz w:val="32"/>
          <w:szCs w:val="32"/>
        </w:rPr>
        <w:t>代表建议主题要素不明确、问题表达不清楚、措施操作性不强</w:t>
      </w:r>
      <w:r>
        <w:rPr>
          <w:rFonts w:hint="default" w:ascii="Times New Roman" w:hAnsi="Times New Roman" w:eastAsia="方正仿宋简体" w:cs="Times New Roman"/>
          <w:b/>
          <w:bCs w:val="0"/>
          <w:color w:val="auto"/>
          <w:sz w:val="32"/>
          <w:szCs w:val="32"/>
          <w:lang w:val="en-US" w:eastAsia="zh-CN"/>
        </w:rPr>
        <w:t>和建议办理中</w:t>
      </w:r>
      <w:r>
        <w:rPr>
          <w:rFonts w:hint="default" w:ascii="Times New Roman" w:hAnsi="Times New Roman" w:eastAsia="方正仿宋简体" w:cs="Times New Roman"/>
          <w:b/>
          <w:bCs w:val="0"/>
          <w:color w:val="auto"/>
          <w:sz w:val="32"/>
          <w:szCs w:val="32"/>
        </w:rPr>
        <w:t>以回复代替办理、办而无果、代表“被满意”等现象</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2023年，</w:t>
      </w:r>
      <w:r>
        <w:rPr>
          <w:rFonts w:hint="default" w:ascii="Times New Roman" w:hAnsi="Times New Roman" w:eastAsia="方正仿宋简体" w:cs="Times New Roman"/>
          <w:b/>
          <w:bCs w:val="0"/>
          <w:color w:val="auto"/>
          <w:sz w:val="32"/>
          <w:szCs w:val="32"/>
          <w:lang w:val="en-US" w:eastAsia="zh-CN"/>
        </w:rPr>
        <w:t>由16名代表组成的</w:t>
      </w:r>
      <w:r>
        <w:rPr>
          <w:rFonts w:hint="default" w:ascii="Times New Roman" w:hAnsi="Times New Roman" w:eastAsia="方正仿宋简体" w:cs="Times New Roman"/>
          <w:b/>
          <w:bCs w:val="0"/>
          <w:color w:val="auto"/>
          <w:sz w:val="32"/>
          <w:szCs w:val="32"/>
        </w:rPr>
        <w:t>教育专业代表小组提出了《关于加大县域高中支持力度助力巴中教育高质量发展的建议》，并在督办、评价时较真碰硬，</w:t>
      </w:r>
      <w:r>
        <w:rPr>
          <w:rFonts w:hint="default" w:ascii="Times New Roman" w:hAnsi="Times New Roman" w:eastAsia="方正仿宋简体" w:cs="Times New Roman"/>
          <w:b/>
          <w:bCs w:val="0"/>
          <w:color w:val="auto"/>
          <w:sz w:val="32"/>
          <w:szCs w:val="32"/>
          <w:lang w:val="en-US" w:eastAsia="zh-CN"/>
        </w:rPr>
        <w:t>为推动巴中高质量教育</w:t>
      </w:r>
      <w:r>
        <w:rPr>
          <w:rFonts w:hint="default" w:ascii="Times New Roman" w:hAnsi="Times New Roman" w:eastAsia="方正仿宋简体" w:cs="Times New Roman"/>
          <w:b/>
          <w:bCs w:val="0"/>
          <w:color w:val="auto"/>
          <w:sz w:val="32"/>
          <w:szCs w:val="32"/>
        </w:rPr>
        <w:t>取得了较好的质效，得到党委政府、人民群众、人大代表、社会各界的普遍认同。</w:t>
      </w:r>
    </w:p>
    <w:p w14:paraId="480F1232">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p>
    <w:p w14:paraId="766E23D2">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304036AF">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教育专业代表小组通过“十步法”，全过程参与《关于加大县域高中支持力度助力巴中教育高质量发展的建议》的提出、办理和评价。</w:t>
      </w:r>
    </w:p>
    <w:p w14:paraId="2DF0D073">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第一步：培训提能，把热情调动起来。</w:t>
      </w:r>
      <w:r>
        <w:rPr>
          <w:rFonts w:hint="default" w:ascii="Times New Roman" w:hAnsi="Times New Roman" w:eastAsia="方正仿宋简体" w:cs="Times New Roman"/>
          <w:b/>
          <w:bCs w:val="0"/>
          <w:color w:val="auto"/>
          <w:sz w:val="32"/>
          <w:szCs w:val="32"/>
        </w:rPr>
        <w:t>年初，以教育专业代表小组为主体开展专题培训，请2名领导干部和2名教育专家通过专题讲座、学习研讨等，重点从人大制度、教育形势、工作方法上提升代表履职能力水平。通过培训和研讨，教育专业代表小组成员对教育领域提什么建议、怎样提建议、提了建议怎么跟踪了然于胸，干事热情陡然高涨。</w:t>
      </w:r>
    </w:p>
    <w:p w14:paraId="6356146D">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第二步：挂帅明责，把力量组织起来。</w:t>
      </w:r>
      <w:r>
        <w:rPr>
          <w:rFonts w:hint="default" w:ascii="Times New Roman" w:hAnsi="Times New Roman" w:eastAsia="方正仿宋简体" w:cs="Times New Roman"/>
          <w:b/>
          <w:bCs w:val="0"/>
          <w:color w:val="auto"/>
          <w:sz w:val="32"/>
          <w:szCs w:val="32"/>
        </w:rPr>
        <w:t>教育专业代表小组确定1名组长、2名副组长，统筹协调代表建议工作，并制定代表建议工作专项计划，把年度任务和责任具体落实到16名成员身上，每名成员还通过分片分线联系代表的方式，将82名专业水平相对较高的代表团结起来，组成若干项目组。</w:t>
      </w:r>
    </w:p>
    <w:p w14:paraId="2065B36C">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第三步：问需于民，把民意收集起来。</w:t>
      </w:r>
      <w:r>
        <w:rPr>
          <w:rFonts w:hint="default" w:ascii="Times New Roman" w:hAnsi="Times New Roman" w:eastAsia="方正仿宋简体" w:cs="Times New Roman"/>
          <w:b/>
          <w:bCs w:val="0"/>
          <w:color w:val="auto"/>
          <w:sz w:val="32"/>
          <w:szCs w:val="32"/>
        </w:rPr>
        <w:t>教育专业代表小组成员按照职责分工，带着联系的人大代表进“家”入“站”，广泛听取民情民意，并延伸到学校、家庭、社会，收集对教育发展的意见建议，筛选提炼了30条建议雏形，《关于加大县域高中支持力度助力巴中教育高质量发展的建议》同步浮出水面。</w:t>
      </w:r>
    </w:p>
    <w:p w14:paraId="61F14B5E">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第四步：把脉问诊，把意见统一起来。</w:t>
      </w:r>
      <w:r>
        <w:rPr>
          <w:rFonts w:hint="default" w:ascii="Times New Roman" w:hAnsi="Times New Roman" w:eastAsia="方正仿宋简体" w:cs="Times New Roman"/>
          <w:b/>
          <w:bCs w:val="0"/>
          <w:color w:val="auto"/>
          <w:sz w:val="32"/>
          <w:szCs w:val="32"/>
        </w:rPr>
        <w:t>民意千呼万唤，建议分散杂乱。对此，教育专业代表小组对收集的民意、建议的雏形开展集体会商，在忠实群众真实意思的基础上，从政策法规上找出处，从现实实践中找落点。通过会诊，《关于加大县域高中支持力度助推巴中教育高质量发展的建议》提出了6条具体建议意见。</w:t>
      </w:r>
    </w:p>
    <w:p w14:paraId="1F973139">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第五步：拓展协商，把智慧汇集起来。</w:t>
      </w:r>
      <w:r>
        <w:rPr>
          <w:rFonts w:hint="default" w:ascii="Times New Roman" w:hAnsi="Times New Roman" w:eastAsia="方正仿宋简体" w:cs="Times New Roman"/>
          <w:b/>
          <w:bCs w:val="0"/>
          <w:color w:val="auto"/>
          <w:sz w:val="32"/>
          <w:szCs w:val="32"/>
        </w:rPr>
        <w:t>为提高6条具体建议的科学性、精准性、可操作性，教育专业代表小组提请市人大教科文卫委同意，召开“常委会领导+专委会领导+小组代表+承办部门”的论证分析会，对具体建议再拓展协商、再具化实化，在提交人代会讨论前，对代表建议最终提质、定型。</w:t>
      </w:r>
    </w:p>
    <w:p w14:paraId="5E0DF818">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第六步：跟踪督办，把办理监督起来。</w:t>
      </w:r>
      <w:r>
        <w:rPr>
          <w:rFonts w:hint="default" w:ascii="Times New Roman" w:hAnsi="Times New Roman" w:eastAsia="方正仿宋简体" w:cs="Times New Roman"/>
          <w:b/>
          <w:bCs w:val="0"/>
          <w:color w:val="auto"/>
          <w:sz w:val="32"/>
          <w:szCs w:val="32"/>
        </w:rPr>
        <w:t>教育专业代表小组通过“三段式”全过程全链条跟踪监督建议办理。前期看方案防“搁置”，中期看措施防“忽悠”，后期看成效防“水分”，让代表建议一旦交办就进入有效办理流程。通过3个阶段的6次调研、督办，为办理牵头部门指出7个问题，均及时得到整改。</w:t>
      </w:r>
    </w:p>
    <w:p w14:paraId="161724DD">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第七步：沟通销号，把质量提升起来。</w:t>
      </w:r>
      <w:r>
        <w:rPr>
          <w:rFonts w:hint="default" w:ascii="Times New Roman" w:hAnsi="Times New Roman" w:eastAsia="方正仿宋简体" w:cs="Times New Roman"/>
          <w:b/>
          <w:bCs w:val="0"/>
          <w:color w:val="auto"/>
          <w:sz w:val="32"/>
          <w:szCs w:val="32"/>
        </w:rPr>
        <w:t>牵头办理的部门将办理结果主动与代表、教育代表专业小组沟通，以“A”类为第一追求，以“满意”为最终标准，能办未办的、不尽满意的一律“补办”“追办”。通过沟通，办理牵头部门对普通高中招生等3个问题进行了1个月的整改，最终获得一致认同，书面答复代表。</w:t>
      </w:r>
    </w:p>
    <w:p w14:paraId="77262208">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第八步：定性分析，把评估规范起来。</w:t>
      </w:r>
      <w:r>
        <w:rPr>
          <w:rFonts w:hint="default" w:ascii="Times New Roman" w:hAnsi="Times New Roman" w:eastAsia="方正仿宋简体" w:cs="Times New Roman"/>
          <w:b/>
          <w:bCs w:val="0"/>
          <w:color w:val="auto"/>
          <w:sz w:val="32"/>
          <w:szCs w:val="32"/>
        </w:rPr>
        <w:t>教育专业代表小组邀请相关部门领导、人大代表一道，根据牵头办理部门的答复意见，从态度、措施、实效三个维度对办理工作进行定性分析，形成评估意见，书面报告市人大常委会。</w:t>
      </w:r>
    </w:p>
    <w:p w14:paraId="16EC01D9">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第九步：转化问效，把成果应用起来。</w:t>
      </w:r>
      <w:r>
        <w:rPr>
          <w:rFonts w:hint="default" w:ascii="Times New Roman" w:hAnsi="Times New Roman" w:eastAsia="方正仿宋简体" w:cs="Times New Roman"/>
          <w:b/>
          <w:bCs w:val="0"/>
          <w:color w:val="auto"/>
          <w:sz w:val="32"/>
          <w:szCs w:val="32"/>
        </w:rPr>
        <w:t>年终，市人大常委会就代表建议办理情况进行满意度测评，与会组成人员充分尊重教育代表专业小组评估意见，市教体局经投票满意率达100%。随后，市人大常委会将满意度测评结果报市委参阅、向社会公开，并抄送市纪检、组织、人社等部门，多元转化利用建议办理的测评成果。</w:t>
      </w:r>
    </w:p>
    <w:p w14:paraId="2F3EA836">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第十步：建章立制，把经验固化下来。</w:t>
      </w:r>
      <w:r>
        <w:rPr>
          <w:rFonts w:hint="default" w:ascii="Times New Roman" w:hAnsi="Times New Roman" w:eastAsia="方正仿宋简体" w:cs="Times New Roman"/>
          <w:b/>
          <w:bCs w:val="0"/>
          <w:color w:val="auto"/>
          <w:sz w:val="32"/>
          <w:szCs w:val="32"/>
        </w:rPr>
        <w:t>市教体局在代市委、市政府草拟《关于推进教育高质量发展的实施意见》时，充分运用教育领域代表建议办理成果，征求了教育专业代表小组的意见，并围绕上述意见相应完善了若干配套措施。市人大常委会办公室总结做法成效，印发了《关于优化调整市人大代表小组激发代表小组活力的通知》，进一步推广教育专业代表小组的做法经验。</w:t>
      </w:r>
    </w:p>
    <w:p w14:paraId="641EE12A">
      <w:pPr>
        <w:keepLines w:val="0"/>
        <w:pageBreakBefore w:val="0"/>
        <w:kinsoku/>
        <w:wordWrap/>
        <w:topLinePunct w:val="0"/>
        <w:autoSpaceDE/>
        <w:autoSpaceDN/>
        <w:bidi w:val="0"/>
        <w:spacing w:line="580" w:lineRule="exact"/>
        <w:rPr>
          <w:rFonts w:hint="default" w:ascii="Times New Roman" w:hAnsi="Times New Roman" w:eastAsia="方正黑体简体" w:cs="Times New Roman"/>
          <w:b/>
          <w:bCs w:val="0"/>
          <w:color w:val="auto"/>
          <w:sz w:val="32"/>
          <w:szCs w:val="32"/>
        </w:rPr>
      </w:pPr>
    </w:p>
    <w:p w14:paraId="3CBDFD86">
      <w:pPr>
        <w:keepLines w:val="0"/>
        <w:pageBreakBefore w:val="0"/>
        <w:kinsoku/>
        <w:wordWrap/>
        <w:topLinePunct w:val="0"/>
        <w:autoSpaceDE/>
        <w:autoSpaceDN/>
        <w:bidi w:val="0"/>
        <w:spacing w:line="580" w:lineRule="exact"/>
        <w:jc w:val="center"/>
        <w:rPr>
          <w:rFonts w:hint="default" w:ascii="Times New Roman" w:hAnsi="Times New Roman" w:eastAsia="方正黑体简体" w:cs="Times New Roman"/>
          <w:b/>
          <w:bCs w:val="0"/>
          <w:color w:val="auto"/>
          <w:sz w:val="32"/>
          <w:szCs w:val="32"/>
        </w:rPr>
      </w:pPr>
      <w:r>
        <w:rPr>
          <w:rFonts w:hint="default" w:ascii="Times New Roman" w:hAnsi="Times New Roman" w:eastAsia="方正黑体简体" w:cs="Times New Roman"/>
          <w:b/>
          <w:bCs w:val="0"/>
          <w:color w:val="auto"/>
          <w:sz w:val="32"/>
          <w:szCs w:val="32"/>
        </w:rPr>
        <w:t>思考和启发</w:t>
      </w:r>
    </w:p>
    <w:p w14:paraId="0AF921B9">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（一）优化代表，解决“无优可选”的问题。</w:t>
      </w:r>
      <w:r>
        <w:rPr>
          <w:rFonts w:hint="default" w:ascii="Times New Roman" w:hAnsi="Times New Roman" w:eastAsia="方正仿宋简体" w:cs="Times New Roman"/>
          <w:b/>
          <w:bCs w:val="0"/>
          <w:color w:val="auto"/>
          <w:sz w:val="32"/>
          <w:szCs w:val="32"/>
        </w:rPr>
        <w:t>专业代表小组结构优不优、专业强不强、话语权重不重，源于人大代表中相关专业人士的数量、结构和质量，但现实中专业代表小组往往无优可选。换届选举前，组织部门在提名考察代表人选时应与人大常委会加强事前沟通，充分考虑代表的专业结构，考察代表的专业能力。</w:t>
      </w:r>
    </w:p>
    <w:p w14:paraId="4C7F95EA">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（二）依法赋权，解决“无事可干”的问题。</w:t>
      </w:r>
      <w:r>
        <w:rPr>
          <w:rFonts w:hint="default" w:ascii="Times New Roman" w:hAnsi="Times New Roman" w:eastAsia="方正仿宋简体" w:cs="Times New Roman"/>
          <w:b/>
          <w:bCs w:val="0"/>
          <w:color w:val="auto"/>
          <w:sz w:val="32"/>
          <w:szCs w:val="32"/>
        </w:rPr>
        <w:t xml:space="preserve">由于专业代表小组的专业特性和集体活动特征，既要依法享受人大代表应有的权力，人大常委会还应创造条件使之列席相关会议，参与专题调研、集中视察、特定问题调查，让专业代表小组成员“有事可干”，在“干”中真正“转”起来、“专”起来。 </w:t>
      </w:r>
    </w:p>
    <w:p w14:paraId="75CBC71D">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（三）提供便利，解决“无处可去”的问题。</w:t>
      </w:r>
      <w:r>
        <w:rPr>
          <w:rFonts w:hint="default" w:ascii="Times New Roman" w:hAnsi="Times New Roman" w:eastAsia="方正仿宋简体" w:cs="Times New Roman"/>
          <w:b/>
          <w:bCs w:val="0"/>
          <w:color w:val="auto"/>
          <w:sz w:val="32"/>
          <w:szCs w:val="32"/>
        </w:rPr>
        <w:t>《代表法》规定代表可以持代表证就地进行视察，可以按程序约见本级或者下级有关国家机关负责人。但事实上，代表的活动渠道越到基层越不够畅通，专业代表小组开展活动需要多方协调。在探索专业代表小组活动机制时，要打开“围墙”，广开“绿灯”，并提供资料、交通支持，保证专业代表小组活动既依法有序、又灵活自由。</w:t>
      </w:r>
    </w:p>
    <w:p w14:paraId="0E3CDBE3">
      <w:pPr>
        <w:keepLines w:val="0"/>
        <w:pageBreakBefore w:val="0"/>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（四）强化激励，解决“无欲可求”的问题。</w:t>
      </w:r>
      <w:r>
        <w:rPr>
          <w:rFonts w:hint="default" w:ascii="Times New Roman" w:hAnsi="Times New Roman" w:eastAsia="方正仿宋简体" w:cs="Times New Roman"/>
          <w:b/>
          <w:bCs w:val="0"/>
          <w:color w:val="auto"/>
          <w:sz w:val="32"/>
          <w:szCs w:val="32"/>
        </w:rPr>
        <w:t>在提倡专业代表小组成员为选民负责、为人民造福的同时，应对专业代表小组成员适当建立关爱机制，对在专业代表小组活动中工作积极、作出贡献的，应优先纳入各专业委员会、专家委员会队伍，优先拓宽政治参与途径，优先表彰奖励，优先宣传推介，优先评聘职称，让其“专”的精神、“专”的价值获得更大范围的认同。</w:t>
      </w:r>
    </w:p>
    <w:p w14:paraId="753CF476">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br w:type="page"/>
      </w:r>
    </w:p>
    <w:p w14:paraId="2796D173">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color w:val="auto"/>
          <w:sz w:val="32"/>
          <w:szCs w:val="32"/>
        </w:rPr>
      </w:pPr>
    </w:p>
    <w:p w14:paraId="7D1DD4EA">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11" w:name="_Toc10312"/>
      <w:r>
        <w:rPr>
          <w:rFonts w:hint="default" w:ascii="Times New Roman" w:hAnsi="Times New Roman" w:eastAsia="方正小标宋简体" w:cs="Times New Roman"/>
          <w:b/>
          <w:bCs w:val="0"/>
          <w:color w:val="auto"/>
          <w:highlight w:val="none"/>
          <w:lang w:val="en-US" w:eastAsia="zh-CN"/>
        </w:rPr>
        <w:t>用活一部法  造福一方人</w:t>
      </w:r>
      <w:bookmarkEnd w:id="11"/>
    </w:p>
    <w:p w14:paraId="7777E3D8">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b/>
          <w:bCs w:val="0"/>
          <w:color w:val="auto"/>
          <w:spacing w:val="0"/>
          <w:sz w:val="32"/>
          <w:szCs w:val="32"/>
          <w:lang w:val="en-US" w:eastAsia="zh-CN" w:bidi="ar-SA"/>
        </w:rPr>
      </w:pPr>
      <w:r>
        <w:rPr>
          <w:rFonts w:hint="default" w:ascii="Times New Roman" w:hAnsi="Times New Roman" w:eastAsia="方正楷体简体" w:cs="Times New Roman"/>
          <w:b/>
          <w:bCs w:val="0"/>
          <w:color w:val="auto"/>
          <w:spacing w:val="0"/>
          <w:sz w:val="32"/>
          <w:szCs w:val="32"/>
          <w:lang w:val="en-US" w:eastAsia="zh-CN" w:bidi="ar-SA"/>
        </w:rPr>
        <w:t>资阳市人大常委会</w:t>
      </w:r>
    </w:p>
    <w:p w14:paraId="4DD2991F">
      <w:pPr>
        <w:keepNext w:val="0"/>
        <w:keepLines w:val="0"/>
        <w:pageBreakBefore w:val="0"/>
        <w:widowControl w:val="0"/>
        <w:shd w:val="clear"/>
        <w:kinsoku/>
        <w:wordWrap/>
        <w:overflowPunct w:val="0"/>
        <w:topLinePunct w:val="0"/>
        <w:autoSpaceDE/>
        <w:autoSpaceDN/>
        <w:bidi w:val="0"/>
        <w:adjustRightInd/>
        <w:snapToGrid/>
        <w:spacing w:line="580" w:lineRule="exact"/>
        <w:jc w:val="both"/>
        <w:textAlignment w:val="auto"/>
        <w:rPr>
          <w:rFonts w:hint="default" w:ascii="Times New Roman" w:hAnsi="Times New Roman" w:eastAsia="方正仿宋_GBK" w:cs="Times New Roman"/>
          <w:b/>
          <w:bCs w:val="0"/>
          <w:color w:val="auto"/>
          <w:kern w:val="0"/>
          <w:sz w:val="32"/>
          <w:szCs w:val="32"/>
          <w:lang w:val="en-US" w:eastAsia="zh-CN"/>
        </w:rPr>
      </w:pPr>
    </w:p>
    <w:p w14:paraId="4B738AA0">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7CE94157">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val="en-US" w:eastAsia="zh-CN"/>
        </w:rPr>
        <w:t>安岳县被誉为“中国石刻之乡”，现存“古、多、精、美”唐宋摩崖石刻造像10万余尊，石窟经文40余万字，有全国重点文物保护单位10处，是中国唐宋石窟最集中的县之一。安岳石窟点位多、较分散，分布在全县各个乡镇，给日常管护带来了诸多不便。“管理主要靠劝和吼，看护主要靠老人和狗”，这是2019年前安岳石刻保护困境的真实写照。因</w:t>
      </w:r>
      <w:r>
        <w:rPr>
          <w:rFonts w:hint="default" w:ascii="Times New Roman" w:hAnsi="Times New Roman" w:eastAsia="方正仿宋简体" w:cs="Times New Roman"/>
          <w:b/>
          <w:bCs w:val="0"/>
          <w:color w:val="auto"/>
          <w:sz w:val="32"/>
          <w:szCs w:val="32"/>
          <w:lang w:eastAsia="zh-CN"/>
        </w:rPr>
        <w:t>资金投入不足、管理体制不完善、专业人才匮乏、基础设施落后，加之雨水侵蚀、自然风化</w:t>
      </w:r>
      <w:r>
        <w:rPr>
          <w:rFonts w:hint="default"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lang w:eastAsia="zh-CN"/>
        </w:rPr>
        <w:t>偷盗破坏</w:t>
      </w:r>
      <w:r>
        <w:rPr>
          <w:rFonts w:hint="default"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lang w:eastAsia="zh-CN"/>
        </w:rPr>
        <w:t>宗教迷信活动破坏等原因，安岳石刻保护一度困难重重、举步维艰。</w:t>
      </w:r>
    </w:p>
    <w:p w14:paraId="42F47FA3">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在广大群众、人大代表的强烈呼吁下，资阳市人大常委会充分发挥立法的引领和推动作用，经多方共同努力，推动资阳市第一部地方实体性法规《资阳市安岳石刻保护条例》（以下简称条例）于2019年2月1日正式施行，从此安岳石刻保护工作有了强大的的法制保障和法律支撑。</w:t>
      </w:r>
    </w:p>
    <w:p w14:paraId="599CB80E">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p>
    <w:p w14:paraId="6C76CD9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454C7B37">
      <w:pPr>
        <w:keepNext w:val="0"/>
        <w:keepLines w:val="0"/>
        <w:pageBreakBefore w:val="0"/>
        <w:widowControl w:val="0"/>
        <w:numPr>
          <w:ilvl w:val="0"/>
          <w:numId w:val="2"/>
        </w:numPr>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健全体制机制，构建“全方位”监督格局。</w:t>
      </w:r>
      <w:r>
        <w:rPr>
          <w:rFonts w:hint="default" w:ascii="Times New Roman" w:hAnsi="Times New Roman" w:eastAsia="方正仿宋简体" w:cs="Times New Roman"/>
          <w:b/>
          <w:bCs w:val="0"/>
          <w:color w:val="auto"/>
          <w:sz w:val="32"/>
          <w:szCs w:val="32"/>
          <w:lang w:eastAsia="zh-CN"/>
        </w:rPr>
        <w:t>针对安岳石窟造像散布于县域内各个乡镇，呈现数量大、分布广、规模小等特点，条例进一步明确了市、县、乡（镇）人民政府和相关行政部门、安岳石刻保护机构在石刻保护工作的职能职责。推动成立了全省首个副县级石窟寺研究机构——安岳石窟研究院，成功争取四川石窟寺保护研究研究院设置安岳分院，引进文物与博物、考古学等专业硕士研究生16名。推动实行国有景区所有权、管理权、经营权“三权”分离，组建文旅公司，逐步建立产权清晰、权责明确、政企分开、管理科学的现代企业制度，通过市场化手段推广运营，有效激活国有景区的发展潜能。同时，通过省市县上下联动、条块结合，以“</w:t>
      </w:r>
      <w:r>
        <w:rPr>
          <w:rFonts w:hint="default" w:ascii="Times New Roman" w:hAnsi="Times New Roman" w:eastAsia="方正仿宋简体" w:cs="Times New Roman"/>
          <w:b/>
          <w:bCs w:val="0"/>
          <w:color w:val="auto"/>
          <w:sz w:val="32"/>
          <w:szCs w:val="32"/>
          <w:lang w:val="en-US" w:eastAsia="zh-CN"/>
        </w:rPr>
        <w:t>多维度</w:t>
      </w:r>
      <w:r>
        <w:rPr>
          <w:rFonts w:hint="default" w:ascii="Times New Roman" w:hAnsi="Times New Roman" w:eastAsia="方正仿宋简体" w:cs="Times New Roman"/>
          <w:b/>
          <w:bCs w:val="0"/>
          <w:color w:val="auto"/>
          <w:sz w:val="32"/>
          <w:szCs w:val="32"/>
          <w:lang w:eastAsia="zh-CN"/>
        </w:rPr>
        <w:t>”监督实现效果的“大纵深”。</w:t>
      </w:r>
      <w:r>
        <w:rPr>
          <w:rFonts w:hint="default" w:ascii="Times New Roman" w:hAnsi="Times New Roman" w:eastAsia="方正仿宋简体" w:cs="Times New Roman"/>
          <w:b/>
          <w:bCs w:val="0"/>
          <w:color w:val="auto"/>
          <w:sz w:val="32"/>
          <w:szCs w:val="32"/>
          <w:lang w:val="en-US" w:eastAsia="zh-CN"/>
        </w:rPr>
        <w:t>2020</w:t>
      </w:r>
      <w:r>
        <w:rPr>
          <w:rFonts w:hint="default" w:ascii="Times New Roman" w:hAnsi="Times New Roman" w:eastAsia="方正仿宋简体" w:cs="Times New Roman"/>
          <w:b/>
          <w:bCs w:val="0"/>
          <w:color w:val="auto"/>
          <w:sz w:val="32"/>
          <w:szCs w:val="32"/>
          <w:lang w:eastAsia="zh-CN"/>
        </w:rPr>
        <w:t>年市、县人大联动开展条例执法检查，全面检验、评估法律实施成效。</w:t>
      </w:r>
      <w:r>
        <w:rPr>
          <w:rFonts w:hint="default" w:ascii="Times New Roman" w:hAnsi="Times New Roman" w:eastAsia="方正仿宋简体" w:cs="Times New Roman"/>
          <w:b/>
          <w:bCs w:val="0"/>
          <w:color w:val="auto"/>
          <w:sz w:val="32"/>
          <w:szCs w:val="32"/>
          <w:lang w:val="en-US" w:eastAsia="zh-CN"/>
        </w:rPr>
        <w:t>2021年以来，围绕资阳大足文旅融合示范区建设，将安岳石刻社会效益发挥作为调研的重要内容，相继开展</w:t>
      </w:r>
      <w:r>
        <w:rPr>
          <w:rFonts w:hint="default" w:ascii="Times New Roman" w:hAnsi="Times New Roman" w:eastAsia="方正仿宋简体" w:cs="Times New Roman"/>
          <w:b/>
          <w:bCs w:val="0"/>
          <w:color w:val="auto"/>
          <w:sz w:val="32"/>
          <w:szCs w:val="32"/>
          <w:lang w:eastAsia="zh-CN"/>
        </w:rPr>
        <w:t>听取审议</w:t>
      </w:r>
      <w:r>
        <w:rPr>
          <w:rFonts w:hint="default" w:ascii="Times New Roman" w:hAnsi="Times New Roman" w:eastAsia="方正仿宋简体" w:cs="Times New Roman"/>
          <w:b/>
          <w:bCs w:val="0"/>
          <w:color w:val="auto"/>
          <w:sz w:val="32"/>
          <w:szCs w:val="32"/>
          <w:lang w:val="en-US" w:eastAsia="zh-CN"/>
        </w:rPr>
        <w:t>工作报告、</w:t>
      </w:r>
      <w:r>
        <w:rPr>
          <w:rFonts w:hint="default" w:ascii="Times New Roman" w:hAnsi="Times New Roman" w:eastAsia="方正仿宋简体" w:cs="Times New Roman"/>
          <w:b/>
          <w:bCs w:val="0"/>
          <w:color w:val="auto"/>
          <w:sz w:val="32"/>
          <w:szCs w:val="32"/>
          <w:lang w:eastAsia="zh-CN"/>
        </w:rPr>
        <w:t>专项评议工作，</w:t>
      </w:r>
      <w:r>
        <w:rPr>
          <w:rFonts w:hint="default" w:ascii="Times New Roman" w:hAnsi="Times New Roman" w:eastAsia="方正仿宋简体" w:cs="Times New Roman"/>
          <w:b/>
          <w:bCs w:val="0"/>
          <w:color w:val="auto"/>
          <w:sz w:val="32"/>
          <w:szCs w:val="32"/>
          <w:lang w:val="en-US" w:eastAsia="zh-CN"/>
        </w:rPr>
        <w:t>与省人大共同开展石窟寺保护立法调研、与安岳县人大共同开展成都都市圈近郊游目的地专题调研，</w:t>
      </w:r>
      <w:r>
        <w:rPr>
          <w:rFonts w:hint="default" w:ascii="Times New Roman" w:hAnsi="Times New Roman" w:eastAsia="方正仿宋简体" w:cs="Times New Roman"/>
          <w:b/>
          <w:bCs w:val="0"/>
          <w:color w:val="auto"/>
          <w:sz w:val="32"/>
          <w:szCs w:val="32"/>
          <w:lang w:eastAsia="zh-CN"/>
        </w:rPr>
        <w:t>督促在</w:t>
      </w:r>
      <w:r>
        <w:rPr>
          <w:rFonts w:hint="default" w:ascii="Times New Roman" w:hAnsi="Times New Roman" w:eastAsia="方正仿宋简体" w:cs="Times New Roman"/>
          <w:b/>
          <w:bCs w:val="0"/>
          <w:color w:val="auto"/>
          <w:sz w:val="32"/>
          <w:szCs w:val="32"/>
          <w:lang w:val="en-US" w:eastAsia="zh-CN"/>
        </w:rPr>
        <w:t>文旅融合发展</w:t>
      </w:r>
      <w:r>
        <w:rPr>
          <w:rFonts w:hint="default" w:ascii="Times New Roman" w:hAnsi="Times New Roman" w:eastAsia="方正仿宋简体" w:cs="Times New Roman"/>
          <w:b/>
          <w:bCs w:val="0"/>
          <w:color w:val="auto"/>
          <w:sz w:val="32"/>
          <w:szCs w:val="32"/>
          <w:lang w:eastAsia="zh-CN"/>
        </w:rPr>
        <w:t>中做好</w:t>
      </w:r>
      <w:r>
        <w:rPr>
          <w:rFonts w:hint="default" w:ascii="Times New Roman" w:hAnsi="Times New Roman" w:eastAsia="方正仿宋简体" w:cs="Times New Roman"/>
          <w:b/>
          <w:bCs w:val="0"/>
          <w:color w:val="auto"/>
          <w:sz w:val="32"/>
          <w:szCs w:val="32"/>
          <w:lang w:val="en-US" w:eastAsia="zh-CN"/>
        </w:rPr>
        <w:t>安岳石刻的保护利用</w:t>
      </w:r>
      <w:r>
        <w:rPr>
          <w:rFonts w:hint="default" w:ascii="Times New Roman" w:hAnsi="Times New Roman" w:eastAsia="方正仿宋简体" w:cs="Times New Roman"/>
          <w:b/>
          <w:bCs w:val="0"/>
          <w:color w:val="auto"/>
          <w:sz w:val="32"/>
          <w:szCs w:val="32"/>
          <w:lang w:eastAsia="zh-CN"/>
        </w:rPr>
        <w:t>。</w:t>
      </w:r>
    </w:p>
    <w:p w14:paraId="7EB14A5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（二）完善配套制度，实施“全链条”闭环监督。</w:t>
      </w:r>
      <w:r>
        <w:rPr>
          <w:rFonts w:hint="default" w:ascii="Times New Roman" w:hAnsi="Times New Roman" w:eastAsia="方正仿宋简体" w:cs="Times New Roman"/>
          <w:b/>
          <w:bCs w:val="0"/>
          <w:color w:val="auto"/>
          <w:sz w:val="32"/>
          <w:szCs w:val="32"/>
          <w:lang w:eastAsia="zh-CN"/>
        </w:rPr>
        <w:t>围绕保障《条例》实施，</w:t>
      </w:r>
      <w:r>
        <w:rPr>
          <w:rFonts w:hint="default" w:ascii="Times New Roman" w:hAnsi="Times New Roman" w:eastAsia="方正仿宋简体" w:cs="Times New Roman"/>
          <w:b/>
          <w:bCs w:val="0"/>
          <w:color w:val="auto"/>
          <w:sz w:val="32"/>
          <w:szCs w:val="32"/>
          <w:lang w:val="en-US" w:eastAsia="zh-CN"/>
        </w:rPr>
        <w:t>编制</w:t>
      </w:r>
      <w:r>
        <w:rPr>
          <w:rFonts w:hint="default" w:ascii="Times New Roman" w:hAnsi="Times New Roman" w:eastAsia="方正仿宋简体" w:cs="Times New Roman"/>
          <w:b/>
          <w:bCs w:val="0"/>
          <w:color w:val="auto"/>
          <w:sz w:val="32"/>
          <w:szCs w:val="32"/>
          <w:lang w:eastAsia="zh-CN"/>
        </w:rPr>
        <w:t>《安岳石窟保护利用总体规划》，为争取省级专项资金、政策等支持提供了保障。推动出台《安岳石刻保护补助经费管理办法》，严格补助经费拨付程序、使用监管等，确保安岳石刻补助经费专款专用。督促指导《安岳县文物保护工作实施方案》《安岳县文物管理局安全工作制度》等石刻保护责任体系进一步健全，《文物安全工作手册》《文物安全管理制度》《文物安全突发事件应急预案》等工作制度出台，进一步完善人防、犬防、技防、物防“四防”机制，推动《条例》内容进一步落细落实。同时，联合安岳县人大通过综合运用执法检查、听取和审议工作报告、工作评议等多种监督方式，使监督方式与监督环节有机融合，形成系统完整、协调有力的监督工作机制。</w:t>
      </w:r>
    </w:p>
    <w:p w14:paraId="1C14668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（三）严格条例实施，探索“多方式”普法宣传</w:t>
      </w:r>
      <w:r>
        <w:rPr>
          <w:rFonts w:hint="default" w:ascii="Times New Roman" w:hAnsi="Times New Roman" w:eastAsia="方正仿宋简体" w:cs="Times New Roman"/>
          <w:b/>
          <w:bCs w:val="0"/>
          <w:color w:val="auto"/>
          <w:sz w:val="32"/>
          <w:szCs w:val="32"/>
          <w:lang w:eastAsia="zh-CN"/>
        </w:rPr>
        <w:t>。为保障条例全面有效执行，资阳人大常委会决定，将每年7月定为《条例》集中宣传月，集中各方力量宣传普及条例内容；安岳县政府认真贯彻执行市人大常委会决定，组织相关部门分工负责，大力开展《条例》宣传“七进”活动。宣传部门围绕《条例》宣传指导创作快板、舞蹈、小品等群众喜闻乐见节目，利用百姓大舞台、送文化下乡等活动。同时，在圆觉洞、千佛寨、毗卢洞、华严洞、卧佛院等重点石刻景区制作《条例》固定宣传牌120个。市县政府及相关单位切实做好《条例》行政适用、司法适用相关工作，及时查出一批违法案件，推动法规从立到用的转变。</w:t>
      </w:r>
      <w:r>
        <w:rPr>
          <w:rFonts w:hint="default" w:ascii="Times New Roman" w:hAnsi="Times New Roman" w:eastAsia="方正仿宋简体" w:cs="Times New Roman"/>
          <w:b/>
          <w:bCs w:val="0"/>
          <w:color w:val="auto"/>
          <w:sz w:val="32"/>
          <w:szCs w:val="32"/>
          <w:lang w:val="en-US" w:eastAsia="zh-CN"/>
        </w:rPr>
        <w:t>2020年3月，某公司在省级文保单位——净慧岩摩崖造像保护范围内进行爆破挖掘作业，</w:t>
      </w:r>
      <w:r>
        <w:rPr>
          <w:rFonts w:hint="default" w:ascii="Times New Roman" w:hAnsi="Times New Roman" w:eastAsia="方正仿宋简体" w:cs="Times New Roman"/>
          <w:b/>
          <w:bCs w:val="0"/>
          <w:color w:val="auto"/>
          <w:sz w:val="32"/>
          <w:szCs w:val="32"/>
          <w:lang w:eastAsia="zh-CN"/>
        </w:rPr>
        <w:t>文化执法部门</w:t>
      </w:r>
      <w:r>
        <w:rPr>
          <w:rFonts w:hint="default" w:ascii="Times New Roman" w:hAnsi="Times New Roman" w:eastAsia="方正仿宋简体" w:cs="Times New Roman"/>
          <w:b/>
          <w:bCs w:val="0"/>
          <w:color w:val="auto"/>
          <w:sz w:val="32"/>
          <w:szCs w:val="32"/>
          <w:lang w:val="en-US" w:eastAsia="zh-CN"/>
        </w:rPr>
        <w:t>按照《条例》规定，责令其立即停止，拆除现场相关设备，并处行政罚款人民币6000元；2023年8月，某公司在全国重点文保单位——卧佛院摩崖造像保护范围内进行雕刻活动，</w:t>
      </w:r>
      <w:r>
        <w:rPr>
          <w:rFonts w:hint="default" w:ascii="Times New Roman" w:hAnsi="Times New Roman" w:eastAsia="方正仿宋简体" w:cs="Times New Roman"/>
          <w:b/>
          <w:bCs w:val="0"/>
          <w:color w:val="auto"/>
          <w:sz w:val="32"/>
          <w:szCs w:val="32"/>
          <w:lang w:eastAsia="zh-CN"/>
        </w:rPr>
        <w:t>文化执法部门</w:t>
      </w:r>
      <w:r>
        <w:rPr>
          <w:rFonts w:hint="default" w:ascii="Times New Roman" w:hAnsi="Times New Roman" w:eastAsia="方正仿宋简体" w:cs="Times New Roman"/>
          <w:b/>
          <w:bCs w:val="0"/>
          <w:color w:val="auto"/>
          <w:sz w:val="32"/>
          <w:szCs w:val="32"/>
          <w:lang w:val="en-US" w:eastAsia="zh-CN"/>
        </w:rPr>
        <w:t>对该公司处以罚款人民币2000元的行政处罚。安岳县检察院针对石刻文化遗产保护发出检察建议2件，督促修复石刻3处。安岳县人民法院依法审结1起涉嫌文物刑事案件。系列案件的及时有效处置，极大的震慑了犯罪，起到了良好的警示效果，有力维护了安岳石刻安全平稳的良好态势。</w:t>
      </w:r>
    </w:p>
    <w:p w14:paraId="75F960E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（四）强化要素保障，“</w:t>
      </w:r>
      <w:r>
        <w:rPr>
          <w:rFonts w:hint="default" w:ascii="Times New Roman" w:hAnsi="Times New Roman" w:eastAsia="方正楷体简体" w:cs="Times New Roman"/>
          <w:b/>
          <w:bCs w:val="0"/>
          <w:color w:val="auto"/>
          <w:sz w:val="32"/>
          <w:szCs w:val="32"/>
          <w:lang w:val="en-US" w:eastAsia="zh-CN"/>
        </w:rPr>
        <w:t>多渠道</w:t>
      </w:r>
      <w:r>
        <w:rPr>
          <w:rFonts w:hint="default" w:ascii="Times New Roman" w:hAnsi="Times New Roman" w:eastAsia="方正楷体简体" w:cs="Times New Roman"/>
          <w:b/>
          <w:bCs w:val="0"/>
          <w:color w:val="auto"/>
          <w:sz w:val="32"/>
          <w:szCs w:val="32"/>
          <w:lang w:eastAsia="zh-CN"/>
        </w:rPr>
        <w:t>”发挥代表作用。</w:t>
      </w:r>
      <w:r>
        <w:rPr>
          <w:rFonts w:hint="default" w:ascii="Times New Roman" w:hAnsi="Times New Roman" w:eastAsia="方正仿宋简体" w:cs="Times New Roman"/>
          <w:b/>
          <w:bCs w:val="0"/>
          <w:color w:val="auto"/>
          <w:sz w:val="32"/>
          <w:szCs w:val="32"/>
          <w:lang w:val="en-US" w:eastAsia="zh-CN"/>
        </w:rPr>
        <w:t>市县政府认真贯彻落实条例规定，市财政每年预算200万元补助资金专项用于文物保护，县财政每年安排不少于2000万元作为文旅产业发展专项资金，并明确安岳石刻相关非税收入主要用于全县文物保护，不断夯实石刻保护财政基础保障。积极争取国省市文物保护项目支持，2019年以来争取文保项目19个、资金9325.8万元，有力助推石刻保护项目建设。积极争取社会资金支持，累计争取中国文物保护基金会、苏茂隆石刻保护公益基金、腾讯公益基金等公益资金400余万元，推动文物保护资金来源逐步实现多元化。同时，充分发挥人大代表来源于民、厚植于民的优势，</w:t>
      </w:r>
      <w:r>
        <w:rPr>
          <w:rFonts w:hint="default" w:ascii="Times New Roman" w:hAnsi="Times New Roman" w:eastAsia="方正仿宋简体" w:cs="Times New Roman"/>
          <w:b/>
          <w:bCs w:val="0"/>
          <w:color w:val="auto"/>
          <w:sz w:val="32"/>
          <w:szCs w:val="32"/>
          <w:lang w:eastAsia="zh-CN"/>
        </w:rPr>
        <w:t>在推动安岳石刻立法保护过程中，注重发挥代表作用，不断激发代表履职活力。在进“家”入“站”履职过程中，收集到“加强石刻保护去周边环境保护”等群众建议。在立法调研及法规审议过程中，充分听取任人大代表和基层群众意见建议。在开展监督检查过程中，代表提出“强化安岳石刻保护人才支撑”“强化与大足的联系，联合开展石刻保护”等建议意见。在</w:t>
      </w:r>
      <w:r>
        <w:rPr>
          <w:rFonts w:hint="default" w:ascii="Times New Roman" w:hAnsi="Times New Roman" w:eastAsia="方正仿宋简体" w:cs="Times New Roman"/>
          <w:b/>
          <w:bCs w:val="0"/>
          <w:color w:val="auto"/>
          <w:sz w:val="32"/>
          <w:szCs w:val="32"/>
          <w:lang w:val="en-US" w:eastAsia="zh-CN"/>
        </w:rPr>
        <w:t>市人代会期间，多名</w:t>
      </w:r>
      <w:r>
        <w:rPr>
          <w:rFonts w:hint="default" w:ascii="Times New Roman" w:hAnsi="Times New Roman" w:eastAsia="方正仿宋简体" w:cs="Times New Roman"/>
          <w:b/>
          <w:bCs w:val="0"/>
          <w:color w:val="auto"/>
          <w:sz w:val="32"/>
          <w:szCs w:val="32"/>
          <w:lang w:eastAsia="zh-CN"/>
        </w:rPr>
        <w:t>人大代表联合提出《关于全力支持安岳县文旅产业发展的建议》等意见建议，实现</w:t>
      </w:r>
      <w:r>
        <w:rPr>
          <w:rFonts w:hint="default" w:ascii="Times New Roman" w:hAnsi="Times New Roman" w:eastAsia="方正仿宋简体" w:cs="Times New Roman"/>
          <w:b/>
          <w:bCs w:val="0"/>
          <w:color w:val="auto"/>
          <w:sz w:val="32"/>
          <w:szCs w:val="32"/>
          <w:lang w:val="en-US" w:eastAsia="zh-CN"/>
        </w:rPr>
        <w:t>安岳石窟开发利用工作稳步推进，</w:t>
      </w:r>
      <w:r>
        <w:rPr>
          <w:rFonts w:hint="default" w:ascii="Times New Roman" w:hAnsi="Times New Roman" w:eastAsia="方正仿宋简体" w:cs="Times New Roman"/>
          <w:b/>
          <w:bCs w:val="0"/>
          <w:color w:val="auto"/>
          <w:sz w:val="32"/>
          <w:szCs w:val="32"/>
          <w:lang w:eastAsia="zh-CN"/>
        </w:rPr>
        <w:t>安岳石刻数字展示中心等一大批石刻保护利用项目相继启动，卧佛大道等多个旅游基础设施项目陆续建成，有力助推了全市文旅产业发展。</w:t>
      </w:r>
    </w:p>
    <w:p w14:paraId="54538017">
      <w:pPr>
        <w:keepNext w:val="0"/>
        <w:keepLines w:val="0"/>
        <w:pageBreakBefore w:val="0"/>
        <w:widowControl w:val="0"/>
        <w:kinsoku/>
        <w:wordWrap/>
        <w:overflowPunct w:val="0"/>
        <w:topLinePunct w:val="0"/>
        <w:autoSpaceDE/>
        <w:autoSpaceDN/>
        <w:bidi w:val="0"/>
        <w:adjustRightInd/>
        <w:snapToGrid/>
        <w:spacing w:line="580" w:lineRule="exact"/>
        <w:jc w:val="both"/>
        <w:textAlignment w:val="auto"/>
        <w:rPr>
          <w:rFonts w:hint="default" w:ascii="Times New Roman" w:hAnsi="Times New Roman" w:eastAsia="方正黑体_GBK" w:cs="Times New Roman"/>
          <w:b/>
          <w:bCs w:val="0"/>
          <w:color w:val="auto"/>
          <w:sz w:val="32"/>
          <w:szCs w:val="32"/>
          <w:lang w:eastAsia="zh-CN"/>
        </w:rPr>
      </w:pPr>
    </w:p>
    <w:p w14:paraId="1879C60F">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黑体_GBK" w:cs="Times New Roman"/>
          <w:b/>
          <w:bCs w:val="0"/>
          <w:color w:val="auto"/>
          <w:sz w:val="32"/>
          <w:szCs w:val="32"/>
          <w:lang w:eastAsia="zh-CN"/>
        </w:rPr>
      </w:pPr>
      <w:r>
        <w:rPr>
          <w:rFonts w:hint="default" w:ascii="Times New Roman" w:hAnsi="Times New Roman" w:eastAsia="方正黑体简体" w:cs="Times New Roman"/>
          <w:b/>
          <w:bCs w:val="0"/>
          <w:color w:val="auto"/>
          <w:sz w:val="32"/>
          <w:szCs w:val="32"/>
          <w:lang w:val="en-US" w:eastAsia="zh-CN"/>
        </w:rPr>
        <w:t>思考和启发</w:t>
      </w:r>
    </w:p>
    <w:p w14:paraId="51B1B144">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lang w:val="en-US" w:eastAsia="zh-CN"/>
        </w:rPr>
        <w:t>近年来，</w:t>
      </w:r>
      <w:r>
        <w:rPr>
          <w:rFonts w:hint="default" w:ascii="Times New Roman" w:hAnsi="Times New Roman" w:eastAsia="方正仿宋简体" w:cs="Times New Roman"/>
          <w:b/>
          <w:bCs w:val="0"/>
          <w:color w:val="auto"/>
          <w:sz w:val="32"/>
          <w:szCs w:val="32"/>
          <w:lang w:eastAsia="zh-CN"/>
        </w:rPr>
        <w:t>资阳人大在促进《资阳市安岳石刻保护条例》实施实践中，探索了一些路径，取得了一定成效，</w:t>
      </w:r>
      <w:r>
        <w:rPr>
          <w:rFonts w:hint="default" w:ascii="Times New Roman" w:hAnsi="Times New Roman" w:eastAsia="方正仿宋简体" w:cs="Times New Roman"/>
          <w:b/>
          <w:bCs w:val="0"/>
          <w:color w:val="auto"/>
          <w:sz w:val="32"/>
          <w:szCs w:val="32"/>
          <w:lang w:val="en-US" w:eastAsia="zh-CN"/>
        </w:rPr>
        <w:t>对今后继续做好地方人大工作收获了经验启示</w:t>
      </w:r>
      <w:r>
        <w:rPr>
          <w:rFonts w:hint="default" w:ascii="Times New Roman" w:hAnsi="Times New Roman" w:eastAsia="方正仿宋简体" w:cs="Times New Roman"/>
          <w:b/>
          <w:bCs w:val="0"/>
          <w:color w:val="auto"/>
          <w:sz w:val="32"/>
          <w:szCs w:val="32"/>
          <w:lang w:eastAsia="zh-CN"/>
        </w:rPr>
        <w:t>。</w:t>
      </w:r>
    </w:p>
    <w:p w14:paraId="7A134B52">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启示一：做好新时代人大工作，必须始终坚持党的领导，围绕中心服务大局。</w:t>
      </w:r>
      <w:r>
        <w:rPr>
          <w:rFonts w:hint="default" w:ascii="Times New Roman" w:hAnsi="Times New Roman" w:eastAsia="方正仿宋简体" w:cs="Times New Roman"/>
          <w:b/>
          <w:bCs w:val="0"/>
          <w:color w:val="auto"/>
          <w:sz w:val="32"/>
          <w:szCs w:val="32"/>
          <w:lang w:val="en-US" w:eastAsia="zh-CN"/>
        </w:rPr>
        <w:t>常委会全年开展监督工作的计划安排，及时向党委请示；专项工作报告的审议意见、法律法规执法检查报告等监督工作的主要情况以及重要意见、建议，及时向市委报告；切实贯彻党委意图，依照法定程序实现党的主张和人民意志的统一。</w:t>
      </w:r>
    </w:p>
    <w:p w14:paraId="1B2E4AAB">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启示二：做好新时代人大工作，必须始终坚持人民至上，汇聚民智凝聚民心。</w:t>
      </w:r>
      <w:r>
        <w:rPr>
          <w:rFonts w:hint="default" w:ascii="Times New Roman" w:hAnsi="Times New Roman" w:eastAsia="方正仿宋简体" w:cs="Times New Roman"/>
          <w:b/>
          <w:bCs w:val="0"/>
          <w:color w:val="auto"/>
          <w:sz w:val="32"/>
          <w:szCs w:val="32"/>
          <w:lang w:val="en-US" w:eastAsia="zh-CN"/>
        </w:rPr>
        <w:t>资阳人大始终坚持以人民为中心，努力做到正确监督、有效监督、依法监督，充分发挥县乡人大及各级人大代表作用，深入践行全过程人民民主。从监督工作计划的制定，到监督工作的每一个环节，通过“家”“站”、人代会等形式，听取人民群众的意见，努力使人大监督的过程成为发现和解决问题、推动和促进发展的过程。</w:t>
      </w:r>
    </w:p>
    <w:p w14:paraId="414A4B78">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启示三：做好新时代人大工作，必须始终坚持问题导向，攻坚克难力求实效。</w:t>
      </w:r>
      <w:r>
        <w:rPr>
          <w:rFonts w:hint="default" w:ascii="Times New Roman" w:hAnsi="Times New Roman" w:eastAsia="方正仿宋简体" w:cs="Times New Roman"/>
          <w:b/>
          <w:bCs w:val="0"/>
          <w:color w:val="auto"/>
          <w:sz w:val="32"/>
          <w:szCs w:val="32"/>
          <w:lang w:val="en-US" w:eastAsia="zh-CN"/>
        </w:rPr>
        <w:t>石刻保护工作中存在的体制机制不健全、经费不足、基础设施滞后等问题，既是工作的堵点难点，也是人大工作的切入点、突破点。人大开展监督、调研等工作，牢固树立解决问题就是推动落实、解决问题就是提高质效的认识，敢于直面问题、善于查找问题、勇于解决问题，通过人、财、物、体制机制等方面的破题，真正在破难攻坚中提高人大监督的权威性。</w:t>
      </w:r>
    </w:p>
    <w:p w14:paraId="3823128F">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启示四：做好新时代人大工作，必须始终坚持系统观念，一以贯之抓好落实。</w:t>
      </w:r>
      <w:r>
        <w:rPr>
          <w:rFonts w:hint="default" w:ascii="Times New Roman" w:hAnsi="Times New Roman" w:eastAsia="方正仿宋简体" w:cs="Times New Roman"/>
          <w:b/>
          <w:bCs w:val="0"/>
          <w:color w:val="auto"/>
          <w:sz w:val="32"/>
          <w:szCs w:val="32"/>
          <w:lang w:val="en-US" w:eastAsia="zh-CN"/>
        </w:rPr>
        <w:t>面对复杂的新形势新任务，人大仅靠单一履职、短期履职、简单履职难以取得实效，需要加强前瞻性思考、全面性谋划、整体性推进，精选监督议题，整合监督资源，形成监督合力。近年来，资阳人大以《条例》颁布实施为契机、以石刻保护工作中的问题为导向，“瞄准问题不放松，一张蓝图绘到底”，实施小切口、专注、持久的监督，推动事事有回应、件件有落实。</w:t>
      </w:r>
    </w:p>
    <w:p w14:paraId="4DC3363D">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br w:type="page"/>
      </w:r>
    </w:p>
    <w:p w14:paraId="77E7DB53">
      <w:pPr>
        <w:keepNext w:val="0"/>
        <w:keepLines w:val="0"/>
        <w:pageBreakBefore w:val="0"/>
        <w:widowControl w:val="0"/>
        <w:shd w:val="clear"/>
        <w:kinsoku/>
        <w:wordWrap/>
        <w:overflowPunct w:val="0"/>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p>
    <w:p w14:paraId="4EB2C542">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12" w:name="_Toc24402"/>
      <w:r>
        <w:rPr>
          <w:rFonts w:hint="default" w:ascii="Times New Roman" w:hAnsi="Times New Roman" w:eastAsia="方正小标宋简体" w:cs="Times New Roman"/>
          <w:b/>
          <w:bCs w:val="0"/>
          <w:color w:val="auto"/>
          <w:highlight w:val="none"/>
          <w:lang w:val="en-US" w:eastAsia="zh-CN"/>
        </w:rPr>
        <w:t>充分发挥人大职能作用</w:t>
      </w:r>
      <w:r>
        <w:rPr>
          <w:rFonts w:hint="default" w:ascii="Times New Roman" w:hAnsi="Times New Roman" w:eastAsia="方正小标宋简体" w:cs="Times New Roman"/>
          <w:b/>
          <w:bCs w:val="0"/>
          <w:color w:val="auto"/>
          <w:highlight w:val="none"/>
          <w:lang w:val="en-US" w:eastAsia="zh-CN"/>
        </w:rPr>
        <w:br w:type="textWrapping"/>
      </w:r>
      <w:r>
        <w:rPr>
          <w:rFonts w:hint="default" w:ascii="Times New Roman" w:hAnsi="Times New Roman" w:eastAsia="方正小标宋简体" w:cs="Times New Roman"/>
          <w:b/>
          <w:bCs w:val="0"/>
          <w:color w:val="auto"/>
          <w:highlight w:val="none"/>
          <w:lang w:val="en-US" w:eastAsia="zh-CN"/>
        </w:rPr>
        <w:t>促进县域义务教育优质均衡发展</w:t>
      </w:r>
      <w:bookmarkEnd w:id="12"/>
    </w:p>
    <w:p w14:paraId="5C356FEF">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广元市利州区人大常委会</w:t>
      </w:r>
    </w:p>
    <w:p w14:paraId="6EB8C093">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z w:val="32"/>
          <w:szCs w:val="32"/>
          <w:lang w:val="en-US" w:eastAsia="zh-CN"/>
        </w:rPr>
      </w:pPr>
    </w:p>
    <w:p w14:paraId="0C4E33E6">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42A94CFC">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教育事关千家万户，事关全局与未来。党和国家高度重视基础教育，先后出台一系列文件，加强基础教育工作，促进义务教育优质均衡发展。围绕这一要求，利州区突出“优质、公平”两大主题，持续深化教育综合改革，深入实施教育提质工程，实现了全区教育质量的整体提升。但通过实地调研发现，我区城乡教育发展还不平衡，难以满足人们对优质教育的向往和需求，距构建优质均衡的基本公共教育服务体系目标要求还存在一定差距，集中表现在：一是受主城区优势教育资源吸附影响，农村生源大量流向城区，农村学校逐渐“萎缩”，城区学校持续“膨胀”，城乡教育发展差距拉大，校际间发展不平衡。二是基于利州的中心城区地位，周边县、区学生不断流向利州，致使城区学位等教育资源供给不足，“大班额、大校额”等问题未得到根本性解决，据统计，利州区义务教育阶段在校生中近49％来自于区外。三是特色办学、引领示范和具有较强竞争力、影响力的知名综合性教育品牌发展明显不足。同时，教育发展也成了历次人代会上的高频词，区人大代表围绕“加大教育投入、推进教育改革、提升教育质量、缩小城乡差距”等方面提出了较多质量高且针对性和操作性强的意见建议，直击教育发展短板和弊端。区人大常委会切实加强跟踪监督，促使区人民政府以学区制改革和集团化办学为主抓手，深入实施教育提质工程，推动义务教育优质均衡发展。</w:t>
      </w:r>
    </w:p>
    <w:p w14:paraId="37E5C7A2">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黑体简体" w:cs="Times New Roman"/>
          <w:b/>
          <w:bCs w:val="0"/>
          <w:color w:val="auto"/>
          <w:sz w:val="32"/>
          <w:szCs w:val="32"/>
          <w:lang w:val="en-US" w:eastAsia="zh-CN"/>
        </w:rPr>
      </w:pPr>
    </w:p>
    <w:p w14:paraId="59B254C0">
      <w:pPr>
        <w:keepNext w:val="0"/>
        <w:keepLines w:val="0"/>
        <w:pageBreakBefore w:val="0"/>
        <w:shd w:val="clear"/>
        <w:tabs>
          <w:tab w:val="left" w:pos="997"/>
        </w:tabs>
        <w:kinsoku/>
        <w:wordWrap/>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35AD20AF">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区人大常委会高度关注利州教育的大事、难事和群众关注的热点、难点、堵点、痛点，始终把扎实推进学区制改革和集团办学作为教育民生实事重点，坚持以“民有所呼、我有所应”为根本出发点，精选议题、重点调研、常态监督，有力地推进了“大校额”“大班额”等城区学校学位紧张难题的破解。</w:t>
      </w:r>
    </w:p>
    <w:p w14:paraId="75D144E3">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（一）抓住关键“选”题。</w:t>
      </w:r>
      <w:r>
        <w:rPr>
          <w:rFonts w:hint="default" w:ascii="Times New Roman" w:hAnsi="Times New Roman" w:eastAsia="方正仿宋简体" w:cs="Times New Roman"/>
          <w:b/>
          <w:bCs w:val="0"/>
          <w:color w:val="auto"/>
          <w:sz w:val="32"/>
          <w:szCs w:val="32"/>
          <w:lang w:val="en-US" w:eastAsia="zh-CN"/>
        </w:rPr>
        <w:t>区人大常委会在通过历次人代会集中讨论征求代表意见建议基础上，充分利用基层人大“家、站”阵地作用，进一步拓宽议题来源渠道，常态化征集社会各界关于教育发展的意见建议。通过梳理汇总，共征集高质量建议33条，主要集中在教育设施建设、缩小教育差距等。区人大常委会主动与教育部门和专业人大代表进行座谈，查找全区教育发展的短板和制约瓶颈，充分讨论分析代表和社会各界建议，确定了以“全面实施学区制改革，科学有序推进集团化办学”为重点课题进行主攻、专攻。</w:t>
      </w:r>
    </w:p>
    <w:p w14:paraId="078DF565">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（二）注重调研“议”题。</w:t>
      </w:r>
      <w:r>
        <w:rPr>
          <w:rFonts w:hint="default" w:ascii="Times New Roman" w:hAnsi="Times New Roman" w:eastAsia="方正仿宋简体" w:cs="Times New Roman"/>
          <w:b/>
          <w:bCs w:val="0"/>
          <w:color w:val="auto"/>
          <w:sz w:val="32"/>
          <w:szCs w:val="32"/>
          <w:lang w:val="en-US" w:eastAsia="zh-CN"/>
        </w:rPr>
        <w:t>区人大常委会按照“急需先立、成熟先立、好中选优”的原则，充分运用主任会议、人大常委会议和人代会审议、票决的作用，把逐年增加教育投入、改善办学条件、优化教育环境列入各年度重点民生实事票决项目，寻求破解“大校额、大班额”的有效途径。紧扣学区制改革和集体化办学等重点课题开展集中视察和专题调研，先后开展了教育提质工作、义务教育优质均衡发展等专题调研，提出“创新思维，深化改革，打造优势互补、资源共享的办学环境，推动义务教育高质量均衡发展”的工作建议，促成区政府制定出台深化集团办学等系列文件和学区制改革制度方案。</w:t>
      </w:r>
    </w:p>
    <w:p w14:paraId="56DB8BF6">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（三）创新机制“破”题。</w:t>
      </w:r>
      <w:r>
        <w:rPr>
          <w:rFonts w:hint="default" w:ascii="Times New Roman" w:hAnsi="Times New Roman" w:eastAsia="方正仿宋简体" w:cs="Times New Roman"/>
          <w:b/>
          <w:bCs w:val="0"/>
          <w:color w:val="auto"/>
          <w:sz w:val="32"/>
          <w:szCs w:val="32"/>
          <w:lang w:val="en-US" w:eastAsia="zh-CN"/>
        </w:rPr>
        <w:t>区人大常委会建立跟踪督办机制，跟踪督办工作建议落实情况，区人大教科文卫（工）委全程协调跟踪落实，促成区政府深度研究学区制改革路径，做出“以深化学区制改革与集团化办学为重点，推动义务教育优质均衡发展”的决策部署，通过实施“科学组建集团、推动教师轮岗、丰富主题活动、落实五育并举、实施同步管理、城乡互融共促”等举措，全面推进集团化办学纵深发展。</w:t>
      </w:r>
    </w:p>
    <w:p w14:paraId="7F9D7B35">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（四）常态监督“明”题。</w:t>
      </w:r>
      <w:r>
        <w:rPr>
          <w:rFonts w:hint="default" w:ascii="Times New Roman" w:hAnsi="Times New Roman" w:eastAsia="方正仿宋简体" w:cs="Times New Roman"/>
          <w:b/>
          <w:bCs w:val="0"/>
          <w:color w:val="auto"/>
          <w:sz w:val="32"/>
          <w:szCs w:val="32"/>
          <w:lang w:val="en-US" w:eastAsia="zh-CN"/>
        </w:rPr>
        <w:t>积极探索人大监督与推进教育改革的契合点，将优秀工作建议纳入人大监督计划持续加强监督，探索实行“五单”工作法，将民生票决实事项目实行人大常委会领导重点督办，组织人大代表对项目实施情况全过程监督，进行专人盯、专项督，项目落实情况接受代表测评，督促区政府加大投入，强力推进。截至目前，全区先后投入项目资金4.8亿元，新建义务教育学校2所，改扩建学校13所，改扩建和回购公办幼儿园7所，转普惠幼儿园65所，新增学位3420个、寄宿制学生床位2520个、教师周转房48套，有效地缓解了“大校额、大班额”和城区学校学位紧张压力，为实现每一个孩子在家门口就能享受到优质的教育目标贡献了人大力量。</w:t>
      </w:r>
    </w:p>
    <w:p w14:paraId="0A189325">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近年来，区人大常委会不断探索改进监督工作方式方法，有力地推动教育改革顺利开展，形成了以学区制管理和集团化办学促进义务教育优质均衡发展的利州实践。目前，全区按照“以强带弱、以城带乡、区域一体化发展”思路共划分5个学区，组建了11个教育集团、3个学校联盟和2个城乡教育共同体，打造优质教育集群，擦亮“范家小学一小而美·温馨乡村学校”招牌，树立“学在利州”教育品牌，教育工作机制更加完善，教育资源充分优化，集团学校间的文化加快融合。2023年成功创建省级义务教育优质发展共同体领航学校2所，省法治示范校1所，被第九届教育者大会授予城乡融合教育“最佳实践奖”。利州义务教育质量连续十五年位居全市第一，教育品牌影响力不断增强，呈现出“各美其美，美人之美，美美与共”的发展新态势。</w:t>
      </w:r>
    </w:p>
    <w:p w14:paraId="5D393F7B">
      <w:pPr>
        <w:keepNext w:val="0"/>
        <w:keepLines w:val="0"/>
        <w:pageBreakBefore w:val="0"/>
        <w:shd w:val="clear"/>
        <w:tabs>
          <w:tab w:val="left" w:pos="997"/>
        </w:tabs>
        <w:kinsoku/>
        <w:wordWrap/>
        <w:topLinePunct w:val="0"/>
        <w:autoSpaceDE/>
        <w:autoSpaceDN/>
        <w:bidi w:val="0"/>
        <w:adjustRightInd/>
        <w:snapToGrid/>
        <w:spacing w:line="580" w:lineRule="exact"/>
        <w:jc w:val="both"/>
        <w:textAlignment w:val="auto"/>
        <w:rPr>
          <w:rFonts w:hint="default" w:ascii="Times New Roman" w:hAnsi="Times New Roman" w:eastAsia="方正黑体简体" w:cs="Times New Roman"/>
          <w:b/>
          <w:bCs w:val="0"/>
          <w:color w:val="auto"/>
          <w:sz w:val="32"/>
          <w:szCs w:val="32"/>
          <w:lang w:val="en-US" w:eastAsia="zh-CN"/>
        </w:rPr>
      </w:pPr>
    </w:p>
    <w:p w14:paraId="71784784">
      <w:pPr>
        <w:keepNext w:val="0"/>
        <w:keepLines w:val="0"/>
        <w:pageBreakBefore w:val="0"/>
        <w:shd w:val="clear"/>
        <w:tabs>
          <w:tab w:val="left" w:pos="997"/>
        </w:tabs>
        <w:kinsoku/>
        <w:wordWrap/>
        <w:topLinePunct w:val="0"/>
        <w:autoSpaceDE/>
        <w:autoSpaceDN/>
        <w:bidi w:val="0"/>
        <w:adjustRightInd/>
        <w:snapToGrid/>
        <w:spacing w:line="580" w:lineRule="exact"/>
        <w:jc w:val="center"/>
        <w:textAlignment w:val="auto"/>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思考和启发</w:t>
      </w:r>
    </w:p>
    <w:p w14:paraId="28D6FB38">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区人大常委会强化监督助推学区制改革和集团化办学，是全面落实中央决策部署，集聚人大代表智慧和力量，回应群众呼声，解决群众关切的务实之举，更有利于实现利州区基础教育优质均衡发展，满足群众对更公平更高质量教育的需求，是人大开展“正确监督、有效监督、依法监督”的具体体现。但也存在一些不足和问题，一是对相关议题调研的广度和深度不够；二是在监督中推动落实、在推进实施中持续监督的力度和参与度不够。我们将坚持问题导向，聚焦教育扩优提质，进一步发挥好人大职能作用。</w:t>
      </w:r>
    </w:p>
    <w:p w14:paraId="1812D2AE">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（一）持续关注教育改革进程。</w:t>
      </w:r>
      <w:r>
        <w:rPr>
          <w:rFonts w:hint="default" w:ascii="Times New Roman" w:hAnsi="Times New Roman" w:eastAsia="方正仿宋简体" w:cs="Times New Roman"/>
          <w:b/>
          <w:bCs w:val="0"/>
          <w:color w:val="auto"/>
          <w:sz w:val="32"/>
          <w:szCs w:val="32"/>
          <w:lang w:val="en-US" w:eastAsia="zh-CN"/>
        </w:rPr>
        <w:t>立足利州区实际进一步精准选题，动员专业人大代表积极参与，常态开展实地调研，广泛收集基层特别是学校和家长的意见，深入研究和破解教育发展难题和瓶颈，有针对性地提出工作建议，助力区政府加快推进教育改革进程。</w:t>
      </w:r>
    </w:p>
    <w:p w14:paraId="0CC43CC0">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（二）强化保障支持政策监督。</w:t>
      </w:r>
      <w:r>
        <w:rPr>
          <w:rFonts w:hint="default" w:ascii="Times New Roman" w:hAnsi="Times New Roman" w:eastAsia="方正仿宋简体" w:cs="Times New Roman"/>
          <w:b/>
          <w:bCs w:val="0"/>
          <w:color w:val="auto"/>
          <w:sz w:val="32"/>
          <w:szCs w:val="32"/>
          <w:lang w:val="en-US" w:eastAsia="zh-CN"/>
        </w:rPr>
        <w:t>针对集团化办学尚处起步阶段，配套政策和工作机制还不完善的实际，结合实地调研，分析研究有效措施，扎实开展跟踪监督，督促区政府进一步健全完善投入保障等机制，持续优化教育资源配置与环境，推动全区义务教育均衡发展。</w:t>
      </w:r>
    </w:p>
    <w:p w14:paraId="5878C97E">
      <w:pPr>
        <w:keepNext w:val="0"/>
        <w:keepLines w:val="0"/>
        <w:pageBreakBefore w:val="0"/>
        <w:shd w:val="clear"/>
        <w:tabs>
          <w:tab w:val="left" w:pos="997"/>
        </w:tabs>
        <w:kinsoku/>
        <w:wordWrap/>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（三）推动形成优质教育集群。</w:t>
      </w:r>
      <w:r>
        <w:rPr>
          <w:rFonts w:hint="default" w:ascii="Times New Roman" w:hAnsi="Times New Roman" w:eastAsia="方正仿宋简体" w:cs="Times New Roman"/>
          <w:b/>
          <w:bCs w:val="0"/>
          <w:color w:val="auto"/>
          <w:sz w:val="32"/>
          <w:szCs w:val="32"/>
          <w:lang w:val="en-US" w:eastAsia="zh-CN"/>
        </w:rPr>
        <w:t>围绕“建一所优一所”“带一所强一所”“一集团一特色”目标，持续加大调研监督力度，推动集团化办学组织结构由松散型合作向紧密型合作的合理化转变，打造优质教育集群，逐步缩小城乡、区域、校际差距，为构建优质均衡的公共教育服务体系贡献人大智慧和力量。</w:t>
      </w:r>
    </w:p>
    <w:p w14:paraId="1F01E7EE">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br w:type="page"/>
      </w:r>
    </w:p>
    <w:p w14:paraId="143F9CE3">
      <w:pPr>
        <w:keepLines w:val="0"/>
        <w:pageBreakBefore w:val="0"/>
        <w:shd w:val="clear"/>
        <w:kinsoku/>
        <w:wordWrap/>
        <w:topLinePunct w:val="0"/>
        <w:autoSpaceDE/>
        <w:autoSpaceDN/>
        <w:bidi w:val="0"/>
        <w:spacing w:line="576" w:lineRule="exact"/>
        <w:jc w:val="center"/>
        <w:rPr>
          <w:rFonts w:hint="default" w:ascii="Times New Roman" w:hAnsi="Times New Roman" w:eastAsia="方正小标宋简体" w:cs="Times New Roman"/>
          <w:b/>
          <w:bCs w:val="0"/>
          <w:color w:val="auto"/>
          <w:sz w:val="44"/>
          <w:szCs w:val="44"/>
        </w:rPr>
      </w:pPr>
    </w:p>
    <w:p w14:paraId="6FA122B3">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13" w:name="_Toc26963"/>
      <w:r>
        <w:rPr>
          <w:rFonts w:hint="default" w:ascii="Times New Roman" w:hAnsi="Times New Roman" w:eastAsia="方正小标宋简体" w:cs="Times New Roman"/>
          <w:b/>
          <w:bCs w:val="0"/>
          <w:color w:val="auto"/>
          <w:highlight w:val="none"/>
          <w:lang w:val="en-US" w:eastAsia="zh-CN"/>
        </w:rPr>
        <w:t>发挥人大职能优势  持续深化产教融合</w:t>
      </w:r>
      <w:bookmarkEnd w:id="13"/>
    </w:p>
    <w:p w14:paraId="29887CC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——助推“锂电之都”核心区成就新“锂”想</w:t>
      </w:r>
    </w:p>
    <w:p w14:paraId="6E3D73B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b/>
          <w:bCs w:val="0"/>
          <w:color w:val="auto"/>
          <w:sz w:val="32"/>
          <w:szCs w:val="32"/>
        </w:rPr>
      </w:pPr>
      <w:r>
        <w:rPr>
          <w:rFonts w:hint="default" w:ascii="Times New Roman" w:hAnsi="Times New Roman" w:eastAsia="方正楷体简体" w:cs="Times New Roman"/>
          <w:b/>
          <w:bCs w:val="0"/>
          <w:color w:val="auto"/>
          <w:sz w:val="32"/>
          <w:szCs w:val="32"/>
          <w:lang w:val="en-US" w:eastAsia="zh-CN"/>
        </w:rPr>
        <w:t>射洪市人大常委会</w:t>
      </w:r>
    </w:p>
    <w:p w14:paraId="78B66D82">
      <w:pPr>
        <w:pStyle w:val="10"/>
        <w:keepNext w:val="0"/>
        <w:keepLines w:val="0"/>
        <w:pageBreakBefore w:val="0"/>
        <w:widowControl w:val="0"/>
        <w:shd w:val="clear"/>
        <w:kinsoku/>
        <w:wordWrap/>
        <w:topLinePunct w:val="0"/>
        <w:autoSpaceDE/>
        <w:autoSpaceDN/>
        <w:bidi w:val="0"/>
        <w:spacing w:line="580" w:lineRule="exact"/>
        <w:ind w:firstLine="643" w:firstLineChars="200"/>
        <w:textAlignment w:val="auto"/>
        <w:rPr>
          <w:rFonts w:hint="default" w:ascii="Times New Roman" w:hAnsi="Times New Roman" w:eastAsia="黑体" w:cs="Times New Roman"/>
          <w:b/>
          <w:bCs w:val="0"/>
          <w:color w:val="auto"/>
          <w:sz w:val="32"/>
          <w:szCs w:val="32"/>
        </w:rPr>
      </w:pPr>
    </w:p>
    <w:p w14:paraId="308A65B8">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6CD0B377">
      <w:pPr>
        <w:keepNext w:val="0"/>
        <w:keepLines w:val="0"/>
        <w:pageBreakBefore w:val="0"/>
        <w:widowControl w:val="0"/>
        <w:shd w:val="clear"/>
        <w:kinsoku/>
        <w:wordWrap/>
        <w:topLinePunct w:val="0"/>
        <w:autoSpaceDE/>
        <w:autoSpaceDN/>
        <w:bidi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射洪市始终坚持工业强市战略不动摇，形成了锂电新能源、食品饮料、能源化工三大产业支撑。锂电新能源产业方面，射洪市汇集了32家锂电企业（天齐锂业已成为全球锂资源龙头），46个产业项目，是川渝地区规模最大的锂材料生产基地，全市已形成从上游基础锂盐到下游锂电池及回收利用的全生命周期生态圈，是国家中小企业特色产业集群之一。射洪市锂电产业已呈高度融合之势，拥有较大的产业规模、完整的产业链条、良好的产业态势，随之而来的是对锂电产业高素质专业人才的巨大需求。</w:t>
      </w:r>
    </w:p>
    <w:p w14:paraId="599B4F8E">
      <w:pPr>
        <w:keepNext w:val="0"/>
        <w:keepLines w:val="0"/>
        <w:pageBreakBefore w:val="0"/>
        <w:widowControl w:val="0"/>
        <w:shd w:val="clear"/>
        <w:kinsoku/>
        <w:wordWrap/>
        <w:topLinePunct w:val="0"/>
        <w:autoSpaceDE/>
        <w:autoSpaceDN/>
        <w:bidi w:val="0"/>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为贯彻落实党的十九大关于深化产教融合的精神和省委确立的加快区域职业教育中心建设的决策部署，射洪市委趁势而上，积极谋划建设四川职业技术学院锂电科技学院（简称锂电科技学院），旨在就地就近培养锂电专业技术人才、产业工人，使教育链、人才链与产业链、创新链有机衔接，为锂电产业发展提供坚强支撑。射洪市人大常委会高度关注锂电科技学院建设、运营等情况，通过深入调研、听取专项报告、专题视察等方式，全方位推动目前全国唯一的一所锂电行业专业化高等职业院校在我市建成投用，全面助推产教融合发展，全力以赴服务全市高质量发展大局。</w:t>
      </w:r>
    </w:p>
    <w:p w14:paraId="047E9F09">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p>
    <w:p w14:paraId="5AA4E12C">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6A3E814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黑体简体" w:cs="Times New Roman"/>
          <w:b/>
          <w:bCs w:val="0"/>
          <w:color w:val="auto"/>
          <w:sz w:val="32"/>
          <w:szCs w:val="32"/>
        </w:rPr>
      </w:pPr>
      <w:r>
        <w:rPr>
          <w:rFonts w:hint="default" w:ascii="Times New Roman" w:hAnsi="Times New Roman" w:eastAsia="方正仿宋简体" w:cs="Times New Roman"/>
          <w:b/>
          <w:bCs w:val="0"/>
          <w:color w:val="auto"/>
          <w:sz w:val="32"/>
          <w:szCs w:val="32"/>
        </w:rPr>
        <w:t>射洪市人大常委会积极行动、依法履职，有力推动锂电科技学院产教融合发展，在促进射洪高质量发展中充分彰显了人大作为，持续监督、跟踪问效的工作信息《助推“锂电之都” 迈向新“锂”程》一文在《民主法制建设》2022年第12期刊载，被《中国人大年鉴》（2023）收录。</w:t>
      </w:r>
    </w:p>
    <w:p w14:paraId="43DB54F7">
      <w:pPr>
        <w:pStyle w:val="10"/>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（一）主动作为，积极融入，集思广益聚焦中心工作。</w:t>
      </w:r>
      <w:r>
        <w:rPr>
          <w:rFonts w:hint="default" w:ascii="Times New Roman" w:hAnsi="Times New Roman" w:eastAsia="方正仿宋简体" w:cs="Times New Roman"/>
          <w:b/>
          <w:bCs w:val="0"/>
          <w:color w:val="auto"/>
          <w:sz w:val="32"/>
          <w:szCs w:val="32"/>
        </w:rPr>
        <w:t>市人大常委会牢固树立大局意识，主动作为，将群众声音转变为代表建议，并积极推动建议成为市委决策。一是汇聚民声民意。市人大代表每年深入全市 25个人大代表之家、116个联络站倾听民声，依托“智慧人大”平台及时广泛收集民意，形成有建设性的建议，市人大常委会对代表们连续5年提出“关于建设锂电高职院校”的建议高度重视，将其列为重点建议办理。二是走访基层调研。以“两会”为契机，启动“创建锂电高职院校”的可行性调研工作，先后问计人大代表、群众代表和相关部门，深入全市锂电企业走访调研12次，掌握全市锂电产业发展、人才需求等情况，形成专门调研报告报市委市政府。经反复论证，多方协调，推动市委形成了在射洪市筹建锂电科技学院的决定。三是主动融入跟进。射洪市委启动锂电科技学院建设后，市人大常委会敏锐认识到学院建设既是产业发展所需，也是民生就业所盼，庚即将“锂电科技学院建设工作”纳入2022年和2023年的跨年度人大代表民生实事票决制项目，确保人大工作始终聚焦全市中心大局。</w:t>
      </w:r>
    </w:p>
    <w:p w14:paraId="34F91190">
      <w:pPr>
        <w:pStyle w:val="10"/>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（二）及时跟进，形成合力，依法履职推动项目实施。</w:t>
      </w:r>
      <w:r>
        <w:rPr>
          <w:rFonts w:hint="default" w:ascii="Times New Roman" w:hAnsi="Times New Roman" w:eastAsia="方正仿宋简体" w:cs="Times New Roman"/>
          <w:b/>
          <w:bCs w:val="0"/>
          <w:color w:val="auto"/>
          <w:sz w:val="32"/>
          <w:szCs w:val="32"/>
        </w:rPr>
        <w:t>市人大常委会综合运用多种措施，依法履行监督职责，及时跟进锂电科技学院建设工作。一是加强重点监督力度。将锂电科技学院建设工作和产教融合工作纳入2022年人大常委会审议议题、2023年视察议题和2024年调研议题，积极建言献策，提出工作要求，射洪市政府结合市人大常委会审议意见和代表们的意见建议，组织4个专项工作组研究解决具体困难，细化49项工作任务，快速推进锂电科技学院建设工作和产教融合工作。二是提升融合监督深度。市人大常委会认真做好民生实事项目督导工作，督导组每季度组织人大代表走进锂电科技学院建设项目，开展明查暗访，推动项目落实，及时将督查情况反馈给市委绩效办，建立“红黑榜”制度，加快推进锂电科技学院建设工作。三是拓展群众监督广度。积极组织人大代表深入四川射洪经开区人大代表联络站、居委会，认真收集群众需求，梳理汇总亟待解决的急事难事，督促市政府陆续做好拆迁安置、施工噪音扰民、配套商业街建设等事宜。邀请党员代表、人大代表、离任村干部等作为监督员和情况反馈员，对施工现场专班服务工作进行常态化监督，确保项目安全稳定推进。</w:t>
      </w:r>
    </w:p>
    <w:p w14:paraId="142C8031">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（三）持续关注，跟踪问效，多措并举保障监督质效。</w:t>
      </w:r>
      <w:r>
        <w:rPr>
          <w:rFonts w:hint="default" w:ascii="Times New Roman" w:hAnsi="Times New Roman" w:eastAsia="方正仿宋简体" w:cs="Times New Roman"/>
          <w:b/>
          <w:bCs w:val="0"/>
          <w:color w:val="auto"/>
          <w:sz w:val="32"/>
          <w:szCs w:val="32"/>
        </w:rPr>
        <w:t>市人大常委会不仅推动锂电科技学院建设项目，还积极从配套、服务、运营上持续发力，有力保障人大监督成果的最大化。一是持续关注配套建设。市人大常委会结合学院需求，及时推动代表意见建议办理落实，推动市政府加快安置还房、人居环境、万达广场、张家口高速路出口提档升级等项目建设，协调做好公交专线、商场、超市、餐饮等生活性服务业配套，尽可能就近满足学院师生的学习和生活需求。二是积极促进高效运营。锂电科技学院建成后，市人大常委会组织人大代表、锂电产业园代表和欣城公司代表视察运营管理情况，督促进一步解决产教融合模式不完善、教学设施设备配置不到位、运营经费和人员紧张等困难，推动职业教育高质量创新发展。三是大力推进产教融合。市人大常委会多次组织锂电科技学院与锂电行业人大代表研讨校企合作、产教融合事宜，鼓励学院聘请锂电企业专业技术人才、管理者到学院兼职，激励学生到锂电企业见习、实习、勤工俭学，促使锂电科技学院课程紧贴锂电全生命周期，精准对接锂电全产业链，实现课程与核心岗位有机结合，积极开展订单培养、学徒制培养。目前，锂电科技学院与天齐锂业、蜂巢能源、盛新锂业等二十余家企事业单位建立深度合作关系，共同推进“产、学、研、创”融合发展，构建人才集聚与产业发展同频共振的良好局面，加速培育和发展新质生产力。</w:t>
      </w:r>
    </w:p>
    <w:p w14:paraId="7A8CF845">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p>
    <w:p w14:paraId="761712D6">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4453E989">
      <w:pPr>
        <w:pStyle w:val="10"/>
        <w:keepNext w:val="0"/>
        <w:keepLines w:val="0"/>
        <w:pageBreakBefore w:val="0"/>
        <w:widowControl w:val="0"/>
        <w:kinsoku/>
        <w:wordWrap/>
        <w:topLinePunct w:val="0"/>
        <w:autoSpaceDE/>
        <w:autoSpaceDN/>
        <w:bidi w:val="0"/>
        <w:spacing w:line="580" w:lineRule="exact"/>
        <w:ind w:firstLine="643" w:firstLineChars="200"/>
        <w:textAlignment w:val="auto"/>
        <w:rPr>
          <w:rFonts w:hint="default" w:ascii="Times New Roman" w:hAnsi="Times New Roman" w:eastAsia="方正黑体简体" w:cs="Times New Roman"/>
          <w:b/>
          <w:bCs w:val="0"/>
          <w:color w:val="auto"/>
          <w:sz w:val="32"/>
          <w:szCs w:val="32"/>
        </w:rPr>
      </w:pPr>
      <w:r>
        <w:rPr>
          <w:rFonts w:hint="default" w:ascii="Times New Roman" w:hAnsi="Times New Roman" w:eastAsia="方正仿宋简体" w:cs="Times New Roman"/>
          <w:b/>
          <w:bCs w:val="0"/>
          <w:color w:val="auto"/>
          <w:sz w:val="32"/>
          <w:szCs w:val="32"/>
        </w:rPr>
        <w:t>射洪市人大常委会围绕“幸福民生精品区”建设，充分调动基层代表工作主动性，聚焦民生福祉，提升监督质效，助推锂电科技学院持续深化产教融合，赋能地方经济社会发展，取得了较好成效，对今后继续做好人大工作获得了有益启示。</w:t>
      </w:r>
    </w:p>
    <w:p w14:paraId="1962E996">
      <w:pPr>
        <w:pStyle w:val="35"/>
        <w:keepNext w:val="0"/>
        <w:keepLines w:val="0"/>
        <w:pageBreakBefore w:val="0"/>
        <w:widowControl w:val="0"/>
        <w:kinsoku/>
        <w:wordWrap/>
        <w:overflowPunct w:val="0"/>
        <w:topLinePunct w:val="0"/>
        <w:autoSpaceDE/>
        <w:autoSpaceDN/>
        <w:bidi w:val="0"/>
        <w:adjustRightInd w:val="0"/>
        <w:snapToGrid w:val="0"/>
        <w:spacing w:line="580" w:lineRule="exact"/>
        <w:ind w:firstLine="6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（一）始终聚焦中心大局。</w:t>
      </w:r>
      <w:r>
        <w:rPr>
          <w:rFonts w:hint="default" w:ascii="Times New Roman" w:hAnsi="Times New Roman" w:eastAsia="方正仿宋简体" w:cs="Times New Roman"/>
          <w:b/>
          <w:bCs w:val="0"/>
          <w:color w:val="auto"/>
          <w:sz w:val="32"/>
          <w:szCs w:val="32"/>
        </w:rPr>
        <w:t>准确把握人大及其常委会的政治属性，在坚持党的全面领导上体现政治自觉，在践行党的创新理论上体现政治能力，在贯彻党的决策部署上体现政治担当。射洪市人大常委会认真履行监督职责，始终坚持围绕射洪发展所需，特别是针对射洪工业强市战略中发展锂电产业的现实，总结梳理人大代表的意见建议，及时向市委和上级人大报告，促使其有效转化为政策决策。在锂电科技学院建设过程中，通过常委会议题、视察、调研等活动靠前监督，助推学院一期工程一年时间投入使用，成为职业教育赋能射洪地方经济发展的典型案例。</w:t>
      </w:r>
    </w:p>
    <w:p w14:paraId="66B098A2">
      <w:pPr>
        <w:pStyle w:val="35"/>
        <w:keepNext w:val="0"/>
        <w:keepLines w:val="0"/>
        <w:pageBreakBefore w:val="0"/>
        <w:widowControl w:val="0"/>
        <w:kinsoku/>
        <w:wordWrap/>
        <w:overflowPunct w:val="0"/>
        <w:topLinePunct w:val="0"/>
        <w:autoSpaceDE/>
        <w:autoSpaceDN/>
        <w:bidi w:val="0"/>
        <w:adjustRightInd w:val="0"/>
        <w:snapToGrid w:val="0"/>
        <w:spacing w:line="580" w:lineRule="exact"/>
        <w:ind w:firstLine="6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（二）始终立足岗位职能。</w:t>
      </w:r>
      <w:r>
        <w:rPr>
          <w:rFonts w:hint="default" w:ascii="Times New Roman" w:hAnsi="Times New Roman" w:eastAsia="方正仿宋简体" w:cs="Times New Roman"/>
          <w:b/>
          <w:bCs w:val="0"/>
          <w:color w:val="auto"/>
          <w:sz w:val="32"/>
          <w:szCs w:val="32"/>
        </w:rPr>
        <w:t>在履行人大监督职能时，始终坚持准确把握射洪所处的历史机遇和发展态势，寓支持于监督中，创新监督机制，完善监督方式，促进重大决策落地、重点工作落实，做到“帮忙不添乱”。在推动锂电科技学院产教融合工作中，积极主动加强与市政府、锂电企业和施工企业沟通联动，全面了解项目推动情况，适时提出中肯有效的意见建议，有力推动项目建设。</w:t>
      </w:r>
    </w:p>
    <w:p w14:paraId="44DBE59C">
      <w:pPr>
        <w:pStyle w:val="35"/>
        <w:keepNext w:val="0"/>
        <w:keepLines w:val="0"/>
        <w:pageBreakBefore w:val="0"/>
        <w:widowControl w:val="0"/>
        <w:kinsoku/>
        <w:wordWrap/>
        <w:overflowPunct w:val="0"/>
        <w:topLinePunct w:val="0"/>
        <w:autoSpaceDE/>
        <w:autoSpaceDN/>
        <w:bidi w:val="0"/>
        <w:adjustRightInd w:val="0"/>
        <w:snapToGrid w:val="0"/>
        <w:spacing w:line="580" w:lineRule="exact"/>
        <w:ind w:firstLine="600"/>
        <w:textAlignment w:val="auto"/>
        <w:rPr>
          <w:rFonts w:hint="default" w:ascii="Times New Roman" w:hAnsi="Times New Roman" w:eastAsia="方正仿宋简体" w:cs="Times New Roman"/>
          <w:b/>
          <w:bCs w:val="0"/>
          <w:color w:val="auto"/>
          <w:sz w:val="32"/>
          <w:szCs w:val="32"/>
        </w:rPr>
      </w:pPr>
      <w:r>
        <w:rPr>
          <w:rFonts w:hint="default" w:ascii="Times New Roman" w:hAnsi="Times New Roman" w:eastAsia="方正楷体简体" w:cs="Times New Roman"/>
          <w:b/>
          <w:bCs w:val="0"/>
          <w:color w:val="auto"/>
          <w:sz w:val="32"/>
          <w:szCs w:val="32"/>
        </w:rPr>
        <w:t>（三）始终坚持问题导向</w:t>
      </w:r>
      <w:r>
        <w:rPr>
          <w:rFonts w:hint="default" w:ascii="Times New Roman" w:hAnsi="Times New Roman" w:eastAsia="方正仿宋简体" w:cs="Times New Roman"/>
          <w:b/>
          <w:bCs w:val="0"/>
          <w:color w:val="auto"/>
          <w:sz w:val="32"/>
          <w:szCs w:val="32"/>
        </w:rPr>
        <w:t>。在助推锂电科技学院建设过程中，始终坚持问题导向，通过定期评估项目进度，收集各方反馈，识别并解决影响项目实施的关键问题，确保项目建设进度。例如：2022年夏天，锂电科技学院建设项目因疫情防控、高温限电等原因导致建设进度滞后，市人大常委会组织公民代表、人大代表先后120余人次亲临现场督导项目进度，督促市政府建立弹性推进机制，定期对工作开展情况实行督查，既保障疫情防控又解决电力需求，促使项目建设快速推进，确保锂电科技学院如期交付使用。</w:t>
      </w:r>
    </w:p>
    <w:p w14:paraId="37D041B2">
      <w:pPr>
        <w:keepLines w:val="0"/>
        <w:pageBreakBefore w:val="0"/>
        <w:shd w:val="clear"/>
        <w:kinsoku/>
        <w:wordWrap/>
        <w:topLinePunct w:val="0"/>
        <w:autoSpaceDE/>
        <w:autoSpaceDN/>
        <w:bidi w:val="0"/>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br w:type="page"/>
      </w:r>
    </w:p>
    <w:p w14:paraId="0D9FAD2B">
      <w:pPr>
        <w:keepNext w:val="0"/>
        <w:keepLines w:val="0"/>
        <w:pageBreakBefore w:val="0"/>
        <w:widowControl w:val="0"/>
        <w:shd w:val="clear"/>
        <w:kinsoku/>
        <w:wordWrap/>
        <w:overflowPunct/>
        <w:topLinePunct w:val="0"/>
        <w:autoSpaceDE/>
        <w:autoSpaceDN/>
        <w:bidi w:val="0"/>
        <w:adjustRightInd/>
        <w:snapToGrid/>
        <w:spacing w:line="580" w:lineRule="exact"/>
        <w:ind w:firstLine="422" w:firstLineChars="200"/>
        <w:textAlignment w:val="auto"/>
        <w:rPr>
          <w:rFonts w:hint="default" w:ascii="Times New Roman" w:hAnsi="Times New Roman" w:cs="Times New Roman"/>
          <w:b/>
          <w:bCs w:val="0"/>
          <w:color w:val="auto"/>
          <w:lang w:val="en-US" w:eastAsia="zh-CN"/>
        </w:rPr>
      </w:pPr>
    </w:p>
    <w:p w14:paraId="467EEC03">
      <w:pPr>
        <w:pStyle w:val="2"/>
        <w:keepNext/>
        <w:keepLines w:val="0"/>
        <w:pageBreakBefore w:val="0"/>
        <w:widowControl w:val="0"/>
        <w:shd w:val="clear"/>
        <w:kinsoku/>
        <w:wordWrap/>
        <w:overflowPunct/>
        <w:topLinePunct w:val="0"/>
        <w:autoSpaceDE/>
        <w:autoSpaceDN/>
        <w:bidi w:val="0"/>
        <w:adjustRightInd/>
        <w:snapToGrid/>
        <w:spacing w:before="0" w:after="0" w:line="640" w:lineRule="exact"/>
        <w:jc w:val="center"/>
        <w:textAlignment w:val="auto"/>
        <w:rPr>
          <w:rFonts w:hint="default" w:ascii="Times New Roman" w:hAnsi="Times New Roman" w:eastAsia="方正小标宋简体" w:cs="Times New Roman"/>
          <w:b/>
          <w:bCs w:val="0"/>
          <w:color w:val="auto"/>
          <w:highlight w:val="none"/>
          <w:lang w:val="en-US" w:eastAsia="zh-CN"/>
        </w:rPr>
      </w:pPr>
      <w:bookmarkStart w:id="14" w:name="_Toc25888"/>
      <w:r>
        <w:rPr>
          <w:rFonts w:hint="default" w:ascii="Times New Roman" w:hAnsi="Times New Roman" w:eastAsia="方正小标宋简体" w:cs="Times New Roman"/>
          <w:b/>
          <w:bCs w:val="0"/>
          <w:color w:val="auto"/>
          <w:highlight w:val="none"/>
          <w:lang w:val="en-US" w:eastAsia="zh-CN"/>
        </w:rPr>
        <w:t>开展监督指导，助推慢病防控</w:t>
      </w:r>
      <w:bookmarkEnd w:id="14"/>
    </w:p>
    <w:p w14:paraId="2C31C060">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rPr>
          <w:rFonts w:hint="default" w:ascii="Times New Roman" w:hAnsi="Times New Roman" w:eastAsia="方正楷体简体" w:cs="Times New Roman"/>
          <w:b/>
          <w:bCs w:val="0"/>
          <w:color w:val="auto"/>
          <w:sz w:val="32"/>
          <w:szCs w:val="32"/>
          <w:lang w:val="en-US" w:eastAsia="zh-CN"/>
        </w:rPr>
      </w:pPr>
      <w:r>
        <w:rPr>
          <w:rFonts w:hint="default" w:ascii="Times New Roman" w:hAnsi="Times New Roman" w:eastAsia="方正楷体简体" w:cs="Times New Roman"/>
          <w:b/>
          <w:bCs w:val="0"/>
          <w:color w:val="auto"/>
          <w:sz w:val="32"/>
          <w:szCs w:val="32"/>
          <w:lang w:val="en-US" w:eastAsia="zh-CN"/>
        </w:rPr>
        <w:t>汶川县人大常委会</w:t>
      </w:r>
    </w:p>
    <w:p w14:paraId="44CE7DF7">
      <w:pPr>
        <w:keepLines w:val="0"/>
        <w:pageBreakBefore w:val="0"/>
        <w:shd w:val="clear"/>
        <w:kinsoku/>
        <w:wordWrap/>
        <w:topLinePunct w:val="0"/>
        <w:autoSpaceDE/>
        <w:autoSpaceDN/>
        <w:bidi w:val="0"/>
        <w:spacing w:line="580" w:lineRule="exact"/>
        <w:ind w:firstLine="602" w:firstLineChars="200"/>
        <w:rPr>
          <w:rFonts w:hint="default" w:ascii="Times New Roman" w:hAnsi="Times New Roman" w:eastAsia="方正仿宋简体" w:cs="Times New Roman"/>
          <w:b/>
          <w:bCs w:val="0"/>
          <w:color w:val="auto"/>
          <w:kern w:val="0"/>
          <w:sz w:val="30"/>
          <w:szCs w:val="30"/>
        </w:rPr>
      </w:pPr>
    </w:p>
    <w:p w14:paraId="37EAADD0">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案例背景</w:t>
      </w:r>
    </w:p>
    <w:p w14:paraId="04E7794A">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rPr>
      </w:pPr>
      <w:r>
        <w:rPr>
          <w:rFonts w:hint="default" w:ascii="Times New Roman" w:hAnsi="Times New Roman" w:eastAsia="方正仿宋简体" w:cs="Times New Roman"/>
          <w:b/>
          <w:bCs w:val="0"/>
          <w:color w:val="auto"/>
          <w:kern w:val="0"/>
          <w:sz w:val="32"/>
          <w:szCs w:val="32"/>
        </w:rPr>
        <w:t>“5·12”汶川特大地震让汶川人民倍感生命的可贵，更让汶川人民懂得健康的重要。基于对生命价值的思考和未来发展路径的抉择，汶川县举全县之力，成功创建为国家级慢性非传染性疾病综合防控示范区。近年来，汶川县人大常委会深入学习贯彻习近平总书记关于健康中国建设的重要指示批示精神，围绕健康中国建设要义，以巩固慢病防控示范区建设为抓手，深入开展专项监督、全程督导，全过程参与示范区创建工作，助推汶川县国家慢性非传染性疾病综合防控示范区建设纵深推进。</w:t>
      </w:r>
    </w:p>
    <w:p w14:paraId="61992180">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楷体简体" w:cs="Times New Roman"/>
          <w:b/>
          <w:bCs w:val="0"/>
          <w:color w:val="auto"/>
          <w:kern w:val="0"/>
          <w:sz w:val="32"/>
          <w:szCs w:val="32"/>
        </w:rPr>
      </w:pPr>
    </w:p>
    <w:p w14:paraId="3E8B1B2D">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sz w:val="32"/>
          <w:szCs w:val="32"/>
          <w:lang w:val="en-US" w:eastAsia="zh-CN"/>
        </w:rPr>
      </w:pPr>
      <w:r>
        <w:rPr>
          <w:rFonts w:hint="default" w:ascii="Times New Roman" w:hAnsi="Times New Roman" w:eastAsia="方正黑体简体" w:cs="Times New Roman"/>
          <w:b/>
          <w:bCs w:val="0"/>
          <w:color w:val="auto"/>
          <w:sz w:val="32"/>
          <w:szCs w:val="32"/>
          <w:lang w:val="en-US" w:eastAsia="zh-CN"/>
        </w:rPr>
        <w:t>主要做法及成效</w:t>
      </w:r>
    </w:p>
    <w:p w14:paraId="30FFA329">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rPr>
      </w:pPr>
      <w:r>
        <w:rPr>
          <w:rFonts w:hint="default" w:ascii="Times New Roman" w:hAnsi="Times New Roman" w:eastAsia="方正楷体简体" w:cs="Times New Roman"/>
          <w:b/>
          <w:bCs w:val="0"/>
          <w:color w:val="auto"/>
          <w:kern w:val="0"/>
          <w:sz w:val="32"/>
          <w:szCs w:val="32"/>
        </w:rPr>
        <w:t>（一）提高政治站位，吹响“集结号”。</w:t>
      </w:r>
      <w:r>
        <w:rPr>
          <w:rFonts w:hint="default" w:ascii="Times New Roman" w:hAnsi="Times New Roman" w:eastAsia="方正仿宋简体" w:cs="Times New Roman"/>
          <w:b/>
          <w:bCs w:val="0"/>
          <w:color w:val="auto"/>
          <w:kern w:val="0"/>
          <w:sz w:val="32"/>
          <w:szCs w:val="32"/>
        </w:rPr>
        <w:t>县人大常委会第一时间号召全县各乡镇人大迅速行动，充分发挥人大代表身在基层一线、密切联系群众的优势，广泛动员、组织、凝聚群众，积极构筑起全民参与、共创共建共享的良好氛围。同时，坚持高标准，对汶川县人民政府制定的《汶川县建设全民健康示范县总体规划》和《汶川县持续巩固慢性病综合防控示范区建设实施方案》严格备案审查，科学分解慢病防治任务，全面落实防控责任。</w:t>
      </w:r>
    </w:p>
    <w:p w14:paraId="2242B070">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rPr>
      </w:pPr>
      <w:r>
        <w:rPr>
          <w:rFonts w:hint="default" w:ascii="Times New Roman" w:hAnsi="Times New Roman" w:eastAsia="方正楷体简体" w:cs="Times New Roman"/>
          <w:b/>
          <w:bCs w:val="0"/>
          <w:color w:val="auto"/>
          <w:kern w:val="0"/>
          <w:sz w:val="32"/>
          <w:szCs w:val="32"/>
        </w:rPr>
        <w:t>（二）聚焦监督主责，当好“护航员”。</w:t>
      </w:r>
      <w:r>
        <w:rPr>
          <w:rFonts w:hint="default" w:ascii="Times New Roman" w:hAnsi="Times New Roman" w:eastAsia="方正仿宋简体" w:cs="Times New Roman"/>
          <w:b/>
          <w:bCs w:val="0"/>
          <w:color w:val="auto"/>
          <w:kern w:val="0"/>
          <w:sz w:val="32"/>
          <w:szCs w:val="32"/>
        </w:rPr>
        <w:t>县人大常委会切实扛起监督“利剑”，充分发挥人大代表主体作用，把准“监督者”角色定位，将国家级慢性非传染性疾病综合防控示范区建设纳入监督计划，定期开展重点监督。一是监督工作责任化。建立了由常委会主任牵头、分管领导具体负责、部分县人大代表参与的监督工作组，制定了监督工作方案，建立了定期报告机制，及时化解监督过程中存在的问题，做到抓落实、出成效。二是监督力量立体化。统筹各方力量，加强与辖区各级人大代表及基层人大组织的沟通联络。县人大监督组主动加强与县政府、县卫健、乡镇等之间的工作衔接，及时了解建设过程中存在的问题、建议和意见。同时，组织各级代表不定期开展现场监督，充分发挥基层人大代表之家、人大代表联络站作用，广泛及时收集代表群众意见建议，快速高效反馈代表群众意见建议办理情况。县、镇人大通力合作，统筹各方力量，确保各个环节无缝衔接、同频共振，2012年以来，积极促成建设健康社区（村）31个、健康单位（企业、民宿）24个、健康学校15个、健康餐厅17个、健康食堂18个、健康小屋20个、健康步道3条、健康主题公园3个，设置自助健康检测点85个，切实推动国家级慢性非传染性疾病综合防控示范区建设顺利实施。三是监督方式多样化。“线”下“线”上监督齐步走，稳步推进国家级慢性非传染性疾病综合防控示范区建设落地落实。“线”下，常委会领导带队定期对示范区建设进展情况开展视察调研，通过深入一线察实情、提建议，进一步摸清工作现状。“线”上，利用微信平台建立“监督工作群”，成员包括人大联系领导、政府牵头领导和责任部门负责人、监督组全体代表，适时以文字、表格、图片等形式动态反馈建设情况。2012年以来，汶川县在全国率先形成全民健康行动纲领，编制《汶川县创建全民健康示范县总体规划》，率先发布“熊猫指数”，成功创建全国示范性老年友好型社区、四川省全民健康促进示范县、四川省中医健康旅游示范基地。同时，利用预算监督平台监督模块，监督政府兜底优先预算保障民生工程、卫生健康、慢性病防控等专项经费，对近年来安排的2.76亿元建设县医院综合大楼、县中医医院、县疾控中心改造提升等项目开展同步监督资金拨付、使用情况，及时提出监督通报。</w:t>
      </w:r>
    </w:p>
    <w:p w14:paraId="20DD5DF4">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rPr>
      </w:pPr>
      <w:r>
        <w:rPr>
          <w:rFonts w:hint="default" w:ascii="Times New Roman" w:hAnsi="Times New Roman" w:eastAsia="方正楷体简体" w:cs="Times New Roman"/>
          <w:b/>
          <w:bCs w:val="0"/>
          <w:color w:val="auto"/>
          <w:kern w:val="0"/>
          <w:sz w:val="32"/>
          <w:szCs w:val="32"/>
        </w:rPr>
        <w:t>（三）紧扣中心工作，当好“参与者”。</w:t>
      </w:r>
      <w:r>
        <w:rPr>
          <w:rFonts w:hint="default" w:ascii="Times New Roman" w:hAnsi="Times New Roman" w:eastAsia="方正仿宋简体" w:cs="Times New Roman"/>
          <w:b/>
          <w:bCs w:val="0"/>
          <w:color w:val="auto"/>
          <w:kern w:val="0"/>
          <w:sz w:val="32"/>
          <w:szCs w:val="32"/>
        </w:rPr>
        <w:t>县人大常委会创新性提出“人大代表三个干，慢病防控作贡献”工作号召，助推国家级慢性非传染性疾病综合防控示范区建设。一是人大代表“示范干”。县人大常委会组织人大代表履行代表职责，结合本职工作示范干。县人大代表熊作富发挥人大代表的示范引领作用，坚持五育并举，突出特色品牌创建，积极开展学生心理健康教育，幼儿园、中小学校健康教育课覆盖率100%，七一映秀中学成功创建为全国青少年足球特色学校、全国心理健康教育示范学校、阿坝州体教融合示范校。二是人大代表“带领干”。县人大常委会组织人大代表积极履职担责，主动靠前带领干。县人大代表张胜结合岗位职能、专业特长，从示范区建设方案的起草、实施、建设，全程参与。组织编印控烟禁烟、平衡膳食、三减三健小知识等20余种慢性病防控宣传资料共3万余份发放到居民手中，充分利用传统媒体及新媒体，开展健康教育专题课堂，全县健康素养水平达24.5%，18岁及以上的居民对重要传染性疾病的知晓率＞70%。三是人大代表“指导干”。县人大常委会班子常态化开展调研活动，积极建言献策指导干，深入部门、镇村组、社区、企业学校，通过走访、实地察看、恳谈等方式，了解、收集创建过程中存在的难点、堵点、痛点，召集成员单位听取建设工作推进情况，出实招、解难题，为示范区创建顺利进行贡献人大力量。</w:t>
      </w:r>
    </w:p>
    <w:p w14:paraId="11DB9CFC">
      <w:pPr>
        <w:pStyle w:val="12"/>
        <w:keepLines w:val="0"/>
        <w:pageBreakBefore w:val="0"/>
        <w:kinsoku/>
        <w:wordWrap/>
        <w:topLinePunct w:val="0"/>
        <w:autoSpaceDE/>
        <w:autoSpaceDN/>
        <w:bidi w:val="0"/>
        <w:rPr>
          <w:rFonts w:hint="default" w:ascii="Times New Roman" w:hAnsi="Times New Roman" w:cs="Times New Roman"/>
          <w:b/>
          <w:bCs w:val="0"/>
          <w:color w:val="auto"/>
        </w:rPr>
      </w:pPr>
    </w:p>
    <w:p w14:paraId="4A53DE52">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p>
    <w:p w14:paraId="56D29E19">
      <w:pPr>
        <w:keepNext w:val="0"/>
        <w:keepLines w:val="0"/>
        <w:pageBreakBefore w:val="0"/>
        <w:widowControl w:val="0"/>
        <w:shd w:val="clear"/>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黑体简体" w:cs="Times New Roman"/>
          <w:b/>
          <w:bCs w:val="0"/>
          <w:color w:val="auto"/>
          <w:kern w:val="2"/>
          <w:sz w:val="32"/>
          <w:szCs w:val="32"/>
          <w:lang w:val="en-US" w:eastAsia="zh-CN" w:bidi="ar-SA"/>
        </w:rPr>
      </w:pPr>
      <w:r>
        <w:rPr>
          <w:rFonts w:hint="default" w:ascii="Times New Roman" w:hAnsi="Times New Roman" w:eastAsia="方正黑体简体" w:cs="Times New Roman"/>
          <w:b/>
          <w:bCs w:val="0"/>
          <w:color w:val="auto"/>
          <w:kern w:val="2"/>
          <w:sz w:val="32"/>
          <w:szCs w:val="32"/>
          <w:lang w:val="en-US" w:eastAsia="zh-CN" w:bidi="ar-SA"/>
        </w:rPr>
        <w:t>思考和启发</w:t>
      </w:r>
    </w:p>
    <w:p w14:paraId="65897DF6">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lang w:val="en-US" w:eastAsia="zh-CN"/>
        </w:rPr>
      </w:pPr>
      <w:r>
        <w:rPr>
          <w:rFonts w:hint="default" w:ascii="Times New Roman" w:hAnsi="Times New Roman" w:eastAsia="方正楷体简体" w:cs="Times New Roman"/>
          <w:b/>
          <w:bCs w:val="0"/>
          <w:color w:val="auto"/>
          <w:kern w:val="0"/>
          <w:sz w:val="32"/>
          <w:szCs w:val="32"/>
        </w:rPr>
        <w:t>（</w:t>
      </w:r>
      <w:r>
        <w:rPr>
          <w:rFonts w:hint="default" w:ascii="Times New Roman" w:hAnsi="Times New Roman" w:eastAsia="方正楷体简体" w:cs="Times New Roman"/>
          <w:b/>
          <w:bCs w:val="0"/>
          <w:color w:val="auto"/>
          <w:kern w:val="0"/>
          <w:sz w:val="32"/>
          <w:szCs w:val="32"/>
          <w:lang w:eastAsia="zh-CN"/>
        </w:rPr>
        <w:t>一</w:t>
      </w:r>
      <w:r>
        <w:rPr>
          <w:rFonts w:hint="default" w:ascii="Times New Roman" w:hAnsi="Times New Roman" w:eastAsia="方正楷体简体" w:cs="Times New Roman"/>
          <w:b/>
          <w:bCs w:val="0"/>
          <w:color w:val="auto"/>
          <w:kern w:val="0"/>
          <w:sz w:val="32"/>
          <w:szCs w:val="32"/>
        </w:rPr>
        <w:t>）</w:t>
      </w:r>
      <w:r>
        <w:rPr>
          <w:rFonts w:hint="default" w:ascii="Times New Roman" w:hAnsi="Times New Roman" w:eastAsia="方正楷体简体" w:cs="Times New Roman"/>
          <w:b/>
          <w:bCs w:val="0"/>
          <w:color w:val="auto"/>
          <w:kern w:val="0"/>
          <w:sz w:val="32"/>
          <w:szCs w:val="32"/>
          <w:lang w:val="en-US" w:eastAsia="zh-CN"/>
        </w:rPr>
        <w:t>“人民民主”贯穿于人大监督全过程</w:t>
      </w:r>
      <w:r>
        <w:rPr>
          <w:rFonts w:hint="default" w:ascii="Times New Roman" w:hAnsi="Times New Roman" w:eastAsia="方正楷体简体" w:cs="Times New Roman"/>
          <w:b/>
          <w:bCs w:val="0"/>
          <w:color w:val="auto"/>
          <w:kern w:val="0"/>
          <w:sz w:val="32"/>
          <w:szCs w:val="32"/>
        </w:rPr>
        <w:t>。</w:t>
      </w:r>
      <w:r>
        <w:rPr>
          <w:rFonts w:hint="default" w:ascii="Times New Roman" w:hAnsi="Times New Roman" w:eastAsia="方正仿宋简体" w:cs="Times New Roman"/>
          <w:b/>
          <w:bCs w:val="0"/>
          <w:color w:val="auto"/>
          <w:kern w:val="0"/>
          <w:sz w:val="32"/>
          <w:szCs w:val="32"/>
        </w:rPr>
        <w:t>习近平总书记强调</w:t>
      </w:r>
      <w:r>
        <w:rPr>
          <w:rFonts w:hint="default" w:ascii="Times New Roman" w:hAnsi="Times New Roman" w:eastAsia="方正仿宋简体" w:cs="Times New Roman"/>
          <w:b/>
          <w:bCs w:val="0"/>
          <w:color w:val="auto"/>
          <w:kern w:val="0"/>
          <w:sz w:val="32"/>
          <w:szCs w:val="32"/>
          <w:lang w:eastAsia="zh-CN"/>
        </w:rPr>
        <w:t>：</w:t>
      </w:r>
      <w:r>
        <w:rPr>
          <w:rFonts w:hint="default" w:ascii="Times New Roman" w:hAnsi="Times New Roman" w:eastAsia="方正仿宋简体" w:cs="Times New Roman"/>
          <w:b/>
          <w:bCs w:val="0"/>
          <w:color w:val="auto"/>
          <w:kern w:val="0"/>
          <w:sz w:val="32"/>
          <w:szCs w:val="32"/>
        </w:rPr>
        <w:t>“人民是无所不在的监督力量”</w:t>
      </w:r>
      <w:r>
        <w:rPr>
          <w:rFonts w:hint="default" w:ascii="Times New Roman" w:hAnsi="Times New Roman" w:eastAsia="方正仿宋简体" w:cs="Times New Roman"/>
          <w:b/>
          <w:bCs w:val="0"/>
          <w:color w:val="auto"/>
          <w:kern w:val="0"/>
          <w:sz w:val="32"/>
          <w:szCs w:val="32"/>
          <w:lang w:eastAsia="zh-CN"/>
        </w:rPr>
        <w:t>。</w:t>
      </w:r>
      <w:r>
        <w:rPr>
          <w:rFonts w:hint="default" w:ascii="Times New Roman" w:hAnsi="Times New Roman" w:eastAsia="方正仿宋简体" w:cs="Times New Roman"/>
          <w:b/>
          <w:bCs w:val="0"/>
          <w:color w:val="auto"/>
          <w:kern w:val="0"/>
          <w:sz w:val="32"/>
          <w:szCs w:val="32"/>
        </w:rPr>
        <w:t>在</w:t>
      </w:r>
      <w:r>
        <w:rPr>
          <w:rFonts w:hint="default" w:ascii="Times New Roman" w:hAnsi="Times New Roman" w:eastAsia="方正仿宋简体" w:cs="Times New Roman"/>
          <w:b/>
          <w:bCs w:val="0"/>
          <w:color w:val="auto"/>
          <w:kern w:val="0"/>
          <w:sz w:val="32"/>
          <w:szCs w:val="32"/>
          <w:lang w:eastAsia="zh-CN"/>
        </w:rPr>
        <w:t>示范区建设</w:t>
      </w:r>
      <w:r>
        <w:rPr>
          <w:rFonts w:hint="default" w:ascii="Times New Roman" w:hAnsi="Times New Roman" w:eastAsia="方正仿宋简体" w:cs="Times New Roman"/>
          <w:b/>
          <w:bCs w:val="0"/>
          <w:color w:val="auto"/>
          <w:kern w:val="0"/>
          <w:sz w:val="32"/>
          <w:szCs w:val="32"/>
          <w:lang w:val="en-US" w:eastAsia="zh-CN"/>
        </w:rPr>
        <w:t>和巩固</w:t>
      </w:r>
      <w:r>
        <w:rPr>
          <w:rFonts w:hint="default" w:ascii="Times New Roman" w:hAnsi="Times New Roman" w:eastAsia="方正仿宋简体" w:cs="Times New Roman"/>
          <w:b/>
          <w:bCs w:val="0"/>
          <w:color w:val="auto"/>
          <w:kern w:val="0"/>
          <w:sz w:val="32"/>
          <w:szCs w:val="32"/>
        </w:rPr>
        <w:t>过程中</w:t>
      </w:r>
      <w:r>
        <w:rPr>
          <w:rFonts w:hint="default" w:ascii="Times New Roman" w:hAnsi="Times New Roman" w:eastAsia="方正仿宋简体" w:cs="Times New Roman"/>
          <w:b/>
          <w:bCs w:val="0"/>
          <w:color w:val="auto"/>
          <w:kern w:val="0"/>
          <w:sz w:val="32"/>
          <w:szCs w:val="32"/>
          <w:lang w:eastAsia="zh-CN"/>
        </w:rPr>
        <w:t>，</w:t>
      </w:r>
      <w:r>
        <w:rPr>
          <w:rFonts w:hint="default" w:ascii="Times New Roman" w:hAnsi="Times New Roman" w:eastAsia="方正仿宋简体" w:cs="Times New Roman"/>
          <w:b/>
          <w:bCs w:val="0"/>
          <w:color w:val="auto"/>
          <w:kern w:val="0"/>
          <w:sz w:val="32"/>
          <w:szCs w:val="32"/>
          <w:lang w:val="en-US" w:eastAsia="zh-CN"/>
        </w:rPr>
        <w:t>县人大常委会坚持全过程人民民主指导监督工作，充分尊重群众观点，进行开门决策，让党员领导干部多听人民群众的意见，找准巩固慢性病综合防控示范区建设的突破口和发力点，确保各项举措、各项工作回应人民期盼，反映人民愿望，使慢性病综合防控示范区建设成果惠及全县人民，保证人民赋予的权力始终用来为人民谋幸福。</w:t>
      </w:r>
    </w:p>
    <w:p w14:paraId="226A1315">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lang w:val="en-US" w:eastAsia="zh-CN"/>
        </w:rPr>
      </w:pPr>
      <w:r>
        <w:rPr>
          <w:rFonts w:hint="default" w:ascii="Times New Roman" w:hAnsi="Times New Roman" w:eastAsia="方正楷体简体" w:cs="Times New Roman"/>
          <w:b/>
          <w:bCs w:val="0"/>
          <w:color w:val="auto"/>
          <w:kern w:val="0"/>
          <w:sz w:val="32"/>
          <w:szCs w:val="32"/>
          <w:lang w:val="en-US" w:eastAsia="zh-CN"/>
        </w:rPr>
        <w:t>（二）“家至户到”贯穿于人大调研全过程。</w:t>
      </w:r>
      <w:r>
        <w:rPr>
          <w:rFonts w:hint="default" w:ascii="Times New Roman" w:hAnsi="Times New Roman" w:eastAsia="方正仿宋简体" w:cs="Times New Roman"/>
          <w:b/>
          <w:bCs w:val="0"/>
          <w:color w:val="auto"/>
          <w:kern w:val="0"/>
          <w:sz w:val="32"/>
          <w:szCs w:val="32"/>
          <w:lang w:val="en-US" w:eastAsia="zh-CN"/>
        </w:rPr>
        <w:t>调查研究是成事之基、谋事之本，是理论联系实际的桥梁，是密切联系群众的主渠道，是人大充分行使职权，做好本职工作的基础和前提。县大常委会高度重视调查研究，县人大常委会主任亲自挂帅，分管副主任牵头，深入实际、深入基层、深入群众开展调研。在巩固慢性病综合防控示范区调研过程中，进村寨、进工厂、进学校......与群众面对面沟通交流，回应百姓关心关注的问题，帮助建立起完善的慢性病综合防控体系。</w:t>
      </w:r>
    </w:p>
    <w:p w14:paraId="79241FAE">
      <w:pPr>
        <w:keepLines w:val="0"/>
        <w:pageBreakBefore w:val="0"/>
        <w:shd w:val="clear"/>
        <w:kinsoku/>
        <w:wordWrap/>
        <w:topLinePunct w:val="0"/>
        <w:autoSpaceDE/>
        <w:autoSpaceDN/>
        <w:bidi w:val="0"/>
        <w:spacing w:line="580" w:lineRule="exact"/>
        <w:ind w:firstLine="643" w:firstLineChars="200"/>
        <w:rPr>
          <w:rFonts w:hint="default" w:ascii="Times New Roman" w:hAnsi="Times New Roman" w:eastAsia="方正仿宋简体" w:cs="Times New Roman"/>
          <w:b/>
          <w:bCs w:val="0"/>
          <w:color w:val="auto"/>
          <w:kern w:val="0"/>
          <w:sz w:val="32"/>
          <w:szCs w:val="32"/>
          <w:lang w:eastAsia="zh-CN"/>
        </w:rPr>
      </w:pPr>
      <w:r>
        <w:rPr>
          <w:rFonts w:hint="default" w:ascii="Times New Roman" w:hAnsi="Times New Roman" w:eastAsia="方正楷体简体" w:cs="Times New Roman"/>
          <w:b/>
          <w:bCs w:val="0"/>
          <w:color w:val="auto"/>
          <w:kern w:val="0"/>
          <w:sz w:val="32"/>
          <w:szCs w:val="32"/>
        </w:rPr>
        <w:t>（</w:t>
      </w:r>
      <w:r>
        <w:rPr>
          <w:rFonts w:hint="default" w:ascii="Times New Roman" w:hAnsi="Times New Roman" w:eastAsia="方正楷体简体" w:cs="Times New Roman"/>
          <w:b/>
          <w:bCs w:val="0"/>
          <w:color w:val="auto"/>
          <w:kern w:val="0"/>
          <w:sz w:val="32"/>
          <w:szCs w:val="32"/>
          <w:lang w:eastAsia="zh-CN"/>
        </w:rPr>
        <w:t>三</w:t>
      </w:r>
      <w:r>
        <w:rPr>
          <w:rFonts w:hint="default" w:ascii="Times New Roman" w:hAnsi="Times New Roman" w:eastAsia="方正楷体简体" w:cs="Times New Roman"/>
          <w:b/>
          <w:bCs w:val="0"/>
          <w:color w:val="auto"/>
          <w:kern w:val="0"/>
          <w:sz w:val="32"/>
          <w:szCs w:val="32"/>
        </w:rPr>
        <w:t>）</w:t>
      </w:r>
      <w:r>
        <w:rPr>
          <w:rFonts w:hint="default" w:ascii="Times New Roman" w:hAnsi="Times New Roman" w:eastAsia="方正楷体简体" w:cs="Times New Roman"/>
          <w:b/>
          <w:bCs w:val="0"/>
          <w:color w:val="auto"/>
          <w:kern w:val="0"/>
          <w:sz w:val="32"/>
          <w:szCs w:val="32"/>
          <w:lang w:val="en-US" w:eastAsia="zh-CN"/>
        </w:rPr>
        <w:t>“守正创新”贯穿于新时代人大工作</w:t>
      </w:r>
      <w:r>
        <w:rPr>
          <w:rFonts w:hint="default" w:ascii="Times New Roman" w:hAnsi="Times New Roman" w:eastAsia="方正楷体简体" w:cs="Times New Roman"/>
          <w:b/>
          <w:bCs w:val="0"/>
          <w:color w:val="auto"/>
          <w:kern w:val="0"/>
          <w:sz w:val="32"/>
          <w:szCs w:val="32"/>
        </w:rPr>
        <w:t>。</w:t>
      </w:r>
      <w:r>
        <w:rPr>
          <w:rFonts w:hint="default" w:ascii="Times New Roman" w:hAnsi="Times New Roman" w:eastAsia="方正仿宋简体" w:cs="Times New Roman"/>
          <w:b/>
          <w:bCs w:val="0"/>
          <w:color w:val="auto"/>
          <w:kern w:val="0"/>
          <w:sz w:val="32"/>
          <w:szCs w:val="32"/>
          <w:lang w:val="en-US" w:eastAsia="zh-CN"/>
        </w:rPr>
        <w:t>县人大常委会始终保持时不我待、只争朝夕的紧迫感，坚持守正创新，保持一线状态，追求一线作为，推动人大工作与时俱进。在巩固慢性病综合防控示范区建设过程中，县人大常委会在财政保障、健康教育等方面创新运用了专题询问等新的监督方式，使汶川在财力困难的前提下，保障全民健康免费体检、硬件改造等，确保示范区建设不断提档升级。充分利用广播、电视、互联网等媒体，提高群众的知晓率和参与度，率先在全国2840余个县市区中第一个实行全民健康免费体检和全员慢病管理，开启了西部民族地区全民免费健康体检和慢病防控、干预的先河。</w:t>
      </w:r>
    </w:p>
    <w:p w14:paraId="150350EB">
      <w:pPr>
        <w:pStyle w:val="12"/>
        <w:keepLines w:val="0"/>
        <w:pageBreakBefore w:val="0"/>
        <w:kinsoku/>
        <w:wordWrap/>
        <w:topLinePunct w:val="0"/>
        <w:autoSpaceDE/>
        <w:autoSpaceDN/>
        <w:bidi w:val="0"/>
        <w:rPr>
          <w:rFonts w:hint="default" w:ascii="Times New Roman" w:hAnsi="Times New Roman" w:cs="Times New Roman"/>
          <w:b/>
          <w:bCs w:val="0"/>
          <w:color w:val="auto"/>
        </w:rPr>
      </w:pPr>
    </w:p>
    <w:p w14:paraId="28951C70">
      <w:pPr>
        <w:keepLines w:val="0"/>
        <w:pageBreakBefore w:val="0"/>
        <w:kinsoku/>
        <w:wordWrap/>
        <w:topLinePunct w:val="0"/>
        <w:autoSpaceDE/>
        <w:autoSpaceDN/>
        <w:bidi w:val="0"/>
        <w:rPr>
          <w:rFonts w:hint="default" w:ascii="Times New Roman" w:hAnsi="Times New Roman" w:eastAsia="方正仿宋简体" w:cs="Times New Roman"/>
          <w:b/>
          <w:bCs w:val="0"/>
          <w:color w:val="auto"/>
          <w:kern w:val="0"/>
          <w:sz w:val="32"/>
          <w:szCs w:val="32"/>
          <w:lang w:val="en" w:eastAsia="zh-CN"/>
        </w:rPr>
      </w:pPr>
      <w:r>
        <w:rPr>
          <w:rFonts w:hint="default" w:ascii="Times New Roman" w:hAnsi="Times New Roman" w:eastAsia="方正仿宋简体" w:cs="Times New Roman"/>
          <w:b/>
          <w:bCs w:val="0"/>
          <w:color w:val="auto"/>
          <w:kern w:val="0"/>
          <w:sz w:val="32"/>
          <w:szCs w:val="32"/>
        </w:rPr>
        <w:br w:type="page"/>
      </w:r>
    </w:p>
    <w:sectPr>
      <w:footerReference r:id="rId9" w:type="default"/>
      <w:pgSz w:w="11906" w:h="16838"/>
      <w:pgMar w:top="2098" w:right="1587" w:bottom="181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三极拙楷简体">
    <w:altName w:val="楷体"/>
    <w:panose1 w:val="00000500000000000000"/>
    <w:charset w:val="86"/>
    <w:family w:val="auto"/>
    <w:pitch w:val="default"/>
    <w:sig w:usb0="00000000" w:usb1="00000000" w:usb2="00000012"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6123">
    <w:pPr>
      <w:pStyle w:val="3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83DA">
    <w:pPr>
      <w:pStyle w:val="31"/>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F84B">
    <w:pPr>
      <w:pStyle w:val="31"/>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418A">
    <w:pPr>
      <w:pStyle w:val="31"/>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97D1">
    <w:pPr>
      <w:pStyle w:val="31"/>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BC8A">
    <w:pPr>
      <w:pStyle w:val="31"/>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8DDE">
    <w:pPr>
      <w:pStyle w:val="31"/>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2D54B">
                          <w:pPr>
                            <w:pStyle w:val="1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0B2D54B">
                    <w:pPr>
                      <w:pStyle w:val="1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B1FFC"/>
    <w:multiLevelType w:val="singleLevel"/>
    <w:tmpl w:val="FF8B1FFC"/>
    <w:lvl w:ilvl="0" w:tentative="0">
      <w:start w:val="1"/>
      <w:numFmt w:val="chineseCounting"/>
      <w:suff w:val="nothing"/>
      <w:lvlText w:val="（%1）"/>
      <w:lvlJc w:val="left"/>
      <w:rPr>
        <w:rFonts w:hint="eastAsia"/>
      </w:rPr>
    </w:lvl>
  </w:abstractNum>
  <w:abstractNum w:abstractNumId="1">
    <w:nsid w:val="31FA0B02"/>
    <w:multiLevelType w:val="singleLevel"/>
    <w:tmpl w:val="31FA0B02"/>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2OTFhNTQ5YmNhNWVkZTFhNzcxYTMwOGI3NzM0MGEifQ=="/>
  </w:docVars>
  <w:rsids>
    <w:rsidRoot w:val="00000000"/>
    <w:rsid w:val="000E5BB5"/>
    <w:rsid w:val="004953A6"/>
    <w:rsid w:val="00B37BB3"/>
    <w:rsid w:val="0228734E"/>
    <w:rsid w:val="026A0EE3"/>
    <w:rsid w:val="03E175A9"/>
    <w:rsid w:val="03ED2281"/>
    <w:rsid w:val="043F299D"/>
    <w:rsid w:val="04456386"/>
    <w:rsid w:val="047D5273"/>
    <w:rsid w:val="04B01022"/>
    <w:rsid w:val="04E81D45"/>
    <w:rsid w:val="05450A86"/>
    <w:rsid w:val="05C13337"/>
    <w:rsid w:val="05F652DD"/>
    <w:rsid w:val="064D79F0"/>
    <w:rsid w:val="06CE625A"/>
    <w:rsid w:val="076775B0"/>
    <w:rsid w:val="07737634"/>
    <w:rsid w:val="07EC6A51"/>
    <w:rsid w:val="0840235A"/>
    <w:rsid w:val="087D7893"/>
    <w:rsid w:val="09044B9E"/>
    <w:rsid w:val="09C875A3"/>
    <w:rsid w:val="0A2226F7"/>
    <w:rsid w:val="0A917CCA"/>
    <w:rsid w:val="0B6F4D1A"/>
    <w:rsid w:val="0D162A01"/>
    <w:rsid w:val="0D2E5C80"/>
    <w:rsid w:val="0E10604C"/>
    <w:rsid w:val="0E2E07E1"/>
    <w:rsid w:val="0E562B24"/>
    <w:rsid w:val="0E7742F1"/>
    <w:rsid w:val="0ED40186"/>
    <w:rsid w:val="0EF45C83"/>
    <w:rsid w:val="10366622"/>
    <w:rsid w:val="107D3D12"/>
    <w:rsid w:val="10883B86"/>
    <w:rsid w:val="10A07563"/>
    <w:rsid w:val="10F85922"/>
    <w:rsid w:val="111365EE"/>
    <w:rsid w:val="11136781"/>
    <w:rsid w:val="11B22B48"/>
    <w:rsid w:val="12614426"/>
    <w:rsid w:val="128D655F"/>
    <w:rsid w:val="131F5627"/>
    <w:rsid w:val="136219AB"/>
    <w:rsid w:val="13E470BD"/>
    <w:rsid w:val="145D5190"/>
    <w:rsid w:val="14636234"/>
    <w:rsid w:val="158421C3"/>
    <w:rsid w:val="15EF2CE8"/>
    <w:rsid w:val="160E6673"/>
    <w:rsid w:val="166940FD"/>
    <w:rsid w:val="17A77181"/>
    <w:rsid w:val="181A7553"/>
    <w:rsid w:val="18D031D0"/>
    <w:rsid w:val="18E65685"/>
    <w:rsid w:val="19046B90"/>
    <w:rsid w:val="192C54AB"/>
    <w:rsid w:val="1946613F"/>
    <w:rsid w:val="19C808E7"/>
    <w:rsid w:val="1AE16104"/>
    <w:rsid w:val="1B42017F"/>
    <w:rsid w:val="1BAE5BB8"/>
    <w:rsid w:val="1C113F74"/>
    <w:rsid w:val="1C436666"/>
    <w:rsid w:val="1C96783A"/>
    <w:rsid w:val="1CF074F6"/>
    <w:rsid w:val="1D305121"/>
    <w:rsid w:val="1D535AA1"/>
    <w:rsid w:val="1D631BE4"/>
    <w:rsid w:val="1D9C6312"/>
    <w:rsid w:val="1DAB70EE"/>
    <w:rsid w:val="1E23239C"/>
    <w:rsid w:val="1FB16C3F"/>
    <w:rsid w:val="2020147D"/>
    <w:rsid w:val="20831A0C"/>
    <w:rsid w:val="20ED3B94"/>
    <w:rsid w:val="21377975"/>
    <w:rsid w:val="213C7909"/>
    <w:rsid w:val="22433EBD"/>
    <w:rsid w:val="2268348C"/>
    <w:rsid w:val="2268710B"/>
    <w:rsid w:val="226F199F"/>
    <w:rsid w:val="231117DA"/>
    <w:rsid w:val="247026F4"/>
    <w:rsid w:val="25023A3F"/>
    <w:rsid w:val="26D367BA"/>
    <w:rsid w:val="26E13D67"/>
    <w:rsid w:val="286F11F3"/>
    <w:rsid w:val="29484ADD"/>
    <w:rsid w:val="2A051665"/>
    <w:rsid w:val="2A377AEF"/>
    <w:rsid w:val="2B5D5D69"/>
    <w:rsid w:val="2BA838DA"/>
    <w:rsid w:val="2C9A6598"/>
    <w:rsid w:val="2E06290B"/>
    <w:rsid w:val="2E5A633D"/>
    <w:rsid w:val="2F102DB2"/>
    <w:rsid w:val="30021FA5"/>
    <w:rsid w:val="311B7998"/>
    <w:rsid w:val="3155215F"/>
    <w:rsid w:val="31D24110"/>
    <w:rsid w:val="3203475A"/>
    <w:rsid w:val="32981347"/>
    <w:rsid w:val="329B0393"/>
    <w:rsid w:val="331B0770"/>
    <w:rsid w:val="33243E3B"/>
    <w:rsid w:val="335D1FE1"/>
    <w:rsid w:val="341449FD"/>
    <w:rsid w:val="3466686B"/>
    <w:rsid w:val="346E123C"/>
    <w:rsid w:val="35A43A11"/>
    <w:rsid w:val="35AB3AF1"/>
    <w:rsid w:val="36525B04"/>
    <w:rsid w:val="36745C27"/>
    <w:rsid w:val="368C042F"/>
    <w:rsid w:val="36DE4A8C"/>
    <w:rsid w:val="36E8467D"/>
    <w:rsid w:val="371B7F91"/>
    <w:rsid w:val="37690AE7"/>
    <w:rsid w:val="37FA13BA"/>
    <w:rsid w:val="38B81E0D"/>
    <w:rsid w:val="38D62CC4"/>
    <w:rsid w:val="3AD06F82"/>
    <w:rsid w:val="3BA40D5C"/>
    <w:rsid w:val="3BC929F0"/>
    <w:rsid w:val="3BCE6C1F"/>
    <w:rsid w:val="3BE006DD"/>
    <w:rsid w:val="3C7D1A3B"/>
    <w:rsid w:val="3CE43B7B"/>
    <w:rsid w:val="3D271C45"/>
    <w:rsid w:val="3E583108"/>
    <w:rsid w:val="3E9C1E20"/>
    <w:rsid w:val="3EBD0EBF"/>
    <w:rsid w:val="3ED731F7"/>
    <w:rsid w:val="3EF557EE"/>
    <w:rsid w:val="3F0540C6"/>
    <w:rsid w:val="3F696545"/>
    <w:rsid w:val="405640BE"/>
    <w:rsid w:val="40BB6E5F"/>
    <w:rsid w:val="4111484F"/>
    <w:rsid w:val="411D1605"/>
    <w:rsid w:val="412A44C4"/>
    <w:rsid w:val="4157061F"/>
    <w:rsid w:val="41730CBE"/>
    <w:rsid w:val="426B4382"/>
    <w:rsid w:val="42797662"/>
    <w:rsid w:val="43395DD5"/>
    <w:rsid w:val="44187FD3"/>
    <w:rsid w:val="442C18EF"/>
    <w:rsid w:val="44420AB1"/>
    <w:rsid w:val="44C45A7A"/>
    <w:rsid w:val="457137CF"/>
    <w:rsid w:val="45947182"/>
    <w:rsid w:val="45F60406"/>
    <w:rsid w:val="46020B59"/>
    <w:rsid w:val="470B1A6B"/>
    <w:rsid w:val="4740402F"/>
    <w:rsid w:val="488E7E21"/>
    <w:rsid w:val="490523FE"/>
    <w:rsid w:val="493354CD"/>
    <w:rsid w:val="497C6177"/>
    <w:rsid w:val="4A1452FF"/>
    <w:rsid w:val="4A3546F0"/>
    <w:rsid w:val="4ABD5821"/>
    <w:rsid w:val="4B3A7D12"/>
    <w:rsid w:val="4C0D1A5E"/>
    <w:rsid w:val="4CCF20E6"/>
    <w:rsid w:val="4D371F6E"/>
    <w:rsid w:val="4DD728CB"/>
    <w:rsid w:val="4E056DCE"/>
    <w:rsid w:val="4E3A2825"/>
    <w:rsid w:val="4EFB0E9E"/>
    <w:rsid w:val="4F520447"/>
    <w:rsid w:val="50172112"/>
    <w:rsid w:val="513B1E2E"/>
    <w:rsid w:val="51B57EE1"/>
    <w:rsid w:val="524B4E74"/>
    <w:rsid w:val="52D55A34"/>
    <w:rsid w:val="53D1326E"/>
    <w:rsid w:val="54363EAB"/>
    <w:rsid w:val="5526618C"/>
    <w:rsid w:val="55582572"/>
    <w:rsid w:val="564E7DEA"/>
    <w:rsid w:val="56D26326"/>
    <w:rsid w:val="57215673"/>
    <w:rsid w:val="57CE2ED2"/>
    <w:rsid w:val="57E36310"/>
    <w:rsid w:val="582F7230"/>
    <w:rsid w:val="58A74D44"/>
    <w:rsid w:val="58B87ADB"/>
    <w:rsid w:val="5934151A"/>
    <w:rsid w:val="598E7CA7"/>
    <w:rsid w:val="59F004D4"/>
    <w:rsid w:val="5A1A1AF5"/>
    <w:rsid w:val="5A37688E"/>
    <w:rsid w:val="5AE91F64"/>
    <w:rsid w:val="5B081745"/>
    <w:rsid w:val="5B991165"/>
    <w:rsid w:val="5C2A6C04"/>
    <w:rsid w:val="5CAD6653"/>
    <w:rsid w:val="5CD10E2D"/>
    <w:rsid w:val="5D101956"/>
    <w:rsid w:val="5D2A09E5"/>
    <w:rsid w:val="5D39025A"/>
    <w:rsid w:val="5D4A301F"/>
    <w:rsid w:val="5DE13D96"/>
    <w:rsid w:val="5E000307"/>
    <w:rsid w:val="5E02457E"/>
    <w:rsid w:val="5E892B2C"/>
    <w:rsid w:val="5EEC1F4F"/>
    <w:rsid w:val="5F1A6ABC"/>
    <w:rsid w:val="606A44B9"/>
    <w:rsid w:val="608D3906"/>
    <w:rsid w:val="60D31BB6"/>
    <w:rsid w:val="615E7330"/>
    <w:rsid w:val="61D1262A"/>
    <w:rsid w:val="62C03E1E"/>
    <w:rsid w:val="62F90CF6"/>
    <w:rsid w:val="63755142"/>
    <w:rsid w:val="64047D3A"/>
    <w:rsid w:val="64E5427C"/>
    <w:rsid w:val="64FB0998"/>
    <w:rsid w:val="651B17E0"/>
    <w:rsid w:val="65312228"/>
    <w:rsid w:val="656211BC"/>
    <w:rsid w:val="65BE6761"/>
    <w:rsid w:val="65C6799D"/>
    <w:rsid w:val="65E46C8B"/>
    <w:rsid w:val="660C11BF"/>
    <w:rsid w:val="66331334"/>
    <w:rsid w:val="66630D48"/>
    <w:rsid w:val="6720245A"/>
    <w:rsid w:val="67871636"/>
    <w:rsid w:val="6805268D"/>
    <w:rsid w:val="682D3D04"/>
    <w:rsid w:val="68540658"/>
    <w:rsid w:val="68715CE9"/>
    <w:rsid w:val="68C46AA9"/>
    <w:rsid w:val="69682485"/>
    <w:rsid w:val="69761EF7"/>
    <w:rsid w:val="69A40BE0"/>
    <w:rsid w:val="69B1626F"/>
    <w:rsid w:val="6C14448C"/>
    <w:rsid w:val="6C820B1A"/>
    <w:rsid w:val="6CBC16CE"/>
    <w:rsid w:val="6D1158FA"/>
    <w:rsid w:val="6D920165"/>
    <w:rsid w:val="6EE37AB3"/>
    <w:rsid w:val="6FC26D8C"/>
    <w:rsid w:val="6FEC55D3"/>
    <w:rsid w:val="702C664F"/>
    <w:rsid w:val="70745AA4"/>
    <w:rsid w:val="70E60E46"/>
    <w:rsid w:val="715C602F"/>
    <w:rsid w:val="718D2DE0"/>
    <w:rsid w:val="726D0A15"/>
    <w:rsid w:val="72856038"/>
    <w:rsid w:val="72C96AE9"/>
    <w:rsid w:val="732E1154"/>
    <w:rsid w:val="73636FEB"/>
    <w:rsid w:val="73FE47A6"/>
    <w:rsid w:val="740F2D84"/>
    <w:rsid w:val="74582F00"/>
    <w:rsid w:val="749C3ABE"/>
    <w:rsid w:val="74D21440"/>
    <w:rsid w:val="75195E97"/>
    <w:rsid w:val="75B31C19"/>
    <w:rsid w:val="7613091A"/>
    <w:rsid w:val="7630676D"/>
    <w:rsid w:val="76841A86"/>
    <w:rsid w:val="76EE0498"/>
    <w:rsid w:val="76FD6F97"/>
    <w:rsid w:val="771B741D"/>
    <w:rsid w:val="7755292F"/>
    <w:rsid w:val="77954073"/>
    <w:rsid w:val="77A25449"/>
    <w:rsid w:val="77F40FB7"/>
    <w:rsid w:val="7836235A"/>
    <w:rsid w:val="78C6193F"/>
    <w:rsid w:val="78D117CC"/>
    <w:rsid w:val="79FA156C"/>
    <w:rsid w:val="7B7D328F"/>
    <w:rsid w:val="7C7952FA"/>
    <w:rsid w:val="7C8A627E"/>
    <w:rsid w:val="7CB225D2"/>
    <w:rsid w:val="7D223D71"/>
    <w:rsid w:val="7D285EA0"/>
    <w:rsid w:val="7D9F2B56"/>
    <w:rsid w:val="7DBC63D0"/>
    <w:rsid w:val="7E04598F"/>
    <w:rsid w:val="7F5921DE"/>
    <w:rsid w:val="7F5C724A"/>
    <w:rsid w:val="7F806779"/>
    <w:rsid w:val="7FCB7818"/>
    <w:rsid w:val="7FEB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uppressAutoHyphens/>
      <w:spacing w:before="260" w:after="260" w:line="415" w:lineRule="auto"/>
      <w:outlineLvl w:val="1"/>
    </w:pPr>
    <w:rPr>
      <w:rFonts w:ascii="Times New Roman" w:hAnsi="Times New Roman" w:eastAsia="黑体"/>
      <w:b/>
      <w:bCs/>
      <w:sz w:val="32"/>
      <w:szCs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Salutation"/>
    <w:basedOn w:val="1"/>
    <w:next w:val="1"/>
    <w:unhideWhenUsed/>
    <w:qFormat/>
    <w:uiPriority w:val="99"/>
    <w:pPr>
      <w:widowControl w:val="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spacing w:after="120"/>
    </w:pPr>
  </w:style>
  <w:style w:type="paragraph" w:styleId="6">
    <w:name w:val="toc 2"/>
    <w:basedOn w:val="1"/>
    <w:next w:val="1"/>
    <w:unhideWhenUsed/>
    <w:qFormat/>
    <w:uiPriority w:val="39"/>
    <w:pPr>
      <w:ind w:left="420" w:leftChars="200"/>
    </w:p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2"/>
    <w:basedOn w:val="1"/>
    <w:unhideWhenUsed/>
    <w:qFormat/>
    <w:uiPriority w:val="99"/>
    <w:pPr>
      <w:ind w:left="100" w:leftChars="200" w:hanging="200" w:hangingChars="200"/>
      <w:contextualSpacing/>
    </w:pPr>
  </w:style>
  <w:style w:type="paragraph" w:styleId="10">
    <w:name w:val="Plain Text"/>
    <w:basedOn w:val="1"/>
    <w:qFormat/>
    <w:uiPriority w:val="0"/>
    <w:pPr>
      <w:widowControl w:val="0"/>
      <w:jc w:val="both"/>
    </w:pPr>
    <w:rPr>
      <w:rFonts w:ascii="宋体" w:cs="Courier New"/>
      <w:kern w:val="2"/>
      <w:sz w:val="21"/>
      <w:szCs w:val="21"/>
      <w:lang w:val="en-US" w:eastAsia="zh-CN" w:bidi="ar-SA"/>
    </w:rPr>
  </w:style>
  <w:style w:type="paragraph" w:styleId="11">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toc 4"/>
    <w:basedOn w:val="1"/>
    <w:next w:val="15"/>
    <w:qFormat/>
    <w:uiPriority w:val="0"/>
    <w:pPr>
      <w:spacing w:line="600" w:lineRule="exact"/>
      <w:ind w:firstLine="723" w:firstLineChars="200"/>
    </w:pPr>
    <w:rPr>
      <w:rFonts w:ascii="方正仿宋简体" w:hAnsi="Times New Roman" w:eastAsia="方正仿宋简体" w:cs="方正仿宋简体"/>
      <w:b/>
      <w:bCs/>
      <w:kern w:val="0"/>
      <w:sz w:val="36"/>
      <w:szCs w:val="36"/>
    </w:rPr>
  </w:style>
  <w:style w:type="paragraph" w:customStyle="1" w:styleId="15">
    <w:name w:val="目录 71"/>
    <w:next w:val="1"/>
    <w:qFormat/>
    <w:uiPriority w:val="0"/>
    <w:pPr>
      <w:ind w:left="2550"/>
      <w:jc w:val="both"/>
    </w:pPr>
    <w:rPr>
      <w:rFonts w:ascii="Calibri" w:hAnsi="Calibri" w:eastAsia="华文仿宋" w:cs="Calibri"/>
      <w:sz w:val="21"/>
      <w:szCs w:val="21"/>
      <w:lang w:val="en-US" w:eastAsia="zh-CN" w:bidi="ar-SA"/>
    </w:rPr>
  </w:style>
  <w:style w:type="paragraph" w:styleId="16">
    <w:name w:val="footnote text"/>
    <w:basedOn w:val="1"/>
    <w:qFormat/>
    <w:uiPriority w:val="0"/>
    <w:pPr>
      <w:snapToGrid w:val="0"/>
      <w:jc w:val="left"/>
    </w:pPr>
    <w:rPr>
      <w:sz w:val="18"/>
    </w:rPr>
  </w:style>
  <w:style w:type="paragraph" w:styleId="17">
    <w:name w:val="table of figures"/>
    <w:basedOn w:val="1"/>
    <w:next w:val="1"/>
    <w:qFormat/>
    <w:uiPriority w:val="0"/>
    <w:pPr>
      <w:ind w:left="200" w:leftChars="200" w:hanging="200" w:hangingChars="200"/>
    </w:pPr>
    <w:rPr>
      <w:rFonts w:ascii="Calibri" w:hAnsi="Calibri" w:eastAsia="宋体" w:cs="Times New Roman"/>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20">
    <w:name w:val="Body Text First Indent"/>
    <w:basedOn w:val="5"/>
    <w:qFormat/>
    <w:uiPriority w:val="0"/>
    <w:pPr>
      <w:ind w:firstLine="420" w:firstLineChars="100"/>
    </w:pPr>
  </w:style>
  <w:style w:type="paragraph" w:styleId="21">
    <w:name w:val="Body Text First Indent 2"/>
    <w:basedOn w:val="1"/>
    <w:next w:val="1"/>
    <w:qFormat/>
    <w:uiPriority w:val="0"/>
    <w:pPr>
      <w:ind w:firstLine="420" w:firstLineChars="200"/>
    </w:pPr>
    <w:rPr>
      <w:rFonts w:ascii="Times New Roman" w:hAnsi="Times New Roman" w:eastAsia="宋体" w:cs="Times New Roman"/>
    </w:rPr>
  </w:style>
  <w:style w:type="character" w:styleId="24">
    <w:name w:val="Strong"/>
    <w:basedOn w:val="23"/>
    <w:qFormat/>
    <w:uiPriority w:val="22"/>
    <w:rPr>
      <w:b/>
      <w:bCs/>
    </w:rPr>
  </w:style>
  <w:style w:type="character" w:styleId="25">
    <w:name w:val="page number"/>
    <w:basedOn w:val="23"/>
    <w:qFormat/>
    <w:uiPriority w:val="0"/>
    <w:rPr>
      <w:rFonts w:cs="Times New Roman"/>
      <w:lang w:bidi="ar-SA"/>
    </w:rPr>
  </w:style>
  <w:style w:type="paragraph" w:customStyle="1" w:styleId="26">
    <w:name w:val="BodyText"/>
    <w:basedOn w:val="1"/>
    <w:next w:val="27"/>
    <w:qFormat/>
    <w:uiPriority w:val="0"/>
    <w:pPr>
      <w:ind w:left="111"/>
    </w:pPr>
    <w:rPr>
      <w:rFonts w:ascii="仿宋_GB2312" w:hAnsi="Times New Roman" w:eastAsia="仿宋_GB2312" w:cs="Times New Roman"/>
      <w:sz w:val="32"/>
      <w:szCs w:val="32"/>
    </w:rPr>
  </w:style>
  <w:style w:type="paragraph" w:customStyle="1" w:styleId="27">
    <w:name w:val="UserStyle_24"/>
    <w:basedOn w:val="1"/>
    <w:next w:val="1"/>
    <w:qFormat/>
    <w:uiPriority w:val="0"/>
    <w:pPr>
      <w:ind w:left="2940"/>
    </w:pPr>
    <w:rPr>
      <w:rFonts w:ascii="Times New Roman" w:hAnsi="Times New Roman" w:eastAsia="宋体" w:cs="Times New Roman"/>
    </w:rPr>
  </w:style>
  <w:style w:type="paragraph" w:customStyle="1" w:styleId="28">
    <w:name w:val="index 51"/>
    <w:basedOn w:val="1"/>
    <w:next w:val="1"/>
    <w:qFormat/>
    <w:uiPriority w:val="0"/>
    <w:pPr>
      <w:ind w:left="1680"/>
    </w:pPr>
    <w:rPr>
      <w:rFonts w:ascii="Times New Roman" w:hAnsi="Times New Roman"/>
    </w:rPr>
  </w:style>
  <w:style w:type="character" w:customStyle="1" w:styleId="29">
    <w:name w:val="标题 1 Char"/>
    <w:link w:val="2"/>
    <w:qFormat/>
    <w:uiPriority w:val="0"/>
    <w:rPr>
      <w:b/>
      <w:kern w:val="44"/>
      <w:sz w:val="44"/>
    </w:rPr>
  </w:style>
  <w:style w:type="character" w:customStyle="1" w:styleId="30">
    <w:name w:val="NormalCharacter"/>
    <w:basedOn w:val="23"/>
    <w:qFormat/>
    <w:uiPriority w:val="0"/>
  </w:style>
  <w:style w:type="paragraph" w:customStyle="1" w:styleId="31">
    <w:name w:val="页脚1"/>
    <w:basedOn w:val="1"/>
    <w:autoRedefine/>
    <w:qFormat/>
    <w:uiPriority w:val="99"/>
    <w:pPr>
      <w:tabs>
        <w:tab w:val="center" w:pos="4153"/>
        <w:tab w:val="right" w:pos="8306"/>
      </w:tabs>
      <w:snapToGrid w:val="0"/>
      <w:jc w:val="left"/>
    </w:pPr>
    <w:rPr>
      <w:sz w:val="18"/>
      <w:szCs w:val="18"/>
    </w:rPr>
  </w:style>
  <w:style w:type="paragraph" w:customStyle="1" w:styleId="32">
    <w:name w:val="列出段落1"/>
    <w:basedOn w:val="1"/>
    <w:autoRedefine/>
    <w:qFormat/>
    <w:uiPriority w:val="34"/>
    <w:pPr>
      <w:ind w:firstLine="420" w:firstLineChars="200"/>
    </w:pPr>
  </w:style>
  <w:style w:type="paragraph" w:customStyle="1" w:styleId="33">
    <w:name w:val="章标题"/>
    <w:basedOn w:val="1"/>
    <w:next w:val="34"/>
    <w:qFormat/>
    <w:uiPriority w:val="0"/>
    <w:pPr>
      <w:spacing w:line="323" w:lineRule="atLeast"/>
      <w:ind w:right="-120"/>
      <w:jc w:val="center"/>
      <w:textAlignment w:val="baseline"/>
    </w:pPr>
    <w:rPr>
      <w:color w:val="FF0000"/>
      <w:sz w:val="18"/>
    </w:rPr>
  </w:style>
  <w:style w:type="paragraph" w:customStyle="1" w:styleId="34">
    <w:name w:val="节标题"/>
    <w:basedOn w:val="1"/>
    <w:next w:val="1"/>
    <w:qFormat/>
    <w:uiPriority w:val="0"/>
    <w:pPr>
      <w:spacing w:line="289" w:lineRule="atLeast"/>
      <w:jc w:val="center"/>
      <w:textAlignment w:val="baseline"/>
    </w:pPr>
    <w:rPr>
      <w:color w:val="000000"/>
      <w:sz w:val="28"/>
    </w:rPr>
  </w:style>
  <w:style w:type="paragraph" w:styleId="35">
    <w:name w:val="List Paragraph"/>
    <w:basedOn w:val="1"/>
    <w:qFormat/>
    <w:uiPriority w:val="99"/>
    <w:pPr>
      <w:ind w:firstLine="420" w:firstLineChars="200"/>
    </w:pPr>
  </w:style>
  <w:style w:type="paragraph" w:customStyle="1" w:styleId="36">
    <w:name w:val="图表目录1"/>
    <w:basedOn w:val="37"/>
    <w:next w:val="1"/>
    <w:qFormat/>
    <w:uiPriority w:val="0"/>
    <w:pPr>
      <w:ind w:left="200" w:leftChars="200" w:hanging="200" w:hangingChars="200"/>
    </w:pPr>
    <w:rPr>
      <w:rFonts w:ascii="Calibri" w:hAnsi="Calibri" w:eastAsia="宋体"/>
      <w:sz w:val="21"/>
    </w:rPr>
  </w:style>
  <w:style w:type="paragraph" w:customStyle="1" w:styleId="37">
    <w:name w:val="正文 New"/>
    <w:next w:val="36"/>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41492</Words>
  <Characters>42023</Characters>
  <Lines>0</Lines>
  <Paragraphs>0</Paragraphs>
  <TotalTime>2</TotalTime>
  <ScaleCrop>false</ScaleCrop>
  <LinksUpToDate>false</LinksUpToDate>
  <CharactersWithSpaces>42073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2024-09-27T02:41:00Z</dcterms:created>
  <dc:creator>scrd</dc:creator>
  <cp:lastModifiedBy>goonlgw</cp:lastModifiedBy>
  <dcterms:modified xsi:type="dcterms:W3CDTF">2024-10-31T16:14:00Z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5BAE8F02357C4A5ABD82110FAB1B40A0_13</vt:lpwstr>
  </property>
</Properties>
</file>