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4C47C">
      <w:pPr>
        <w:jc w:val="left"/>
        <w:rPr>
          <w:rFonts w:ascii="Times New Roman" w:hAnsi="Times New Roman" w:eastAsia="方正黑体简体" w:cs="Times New Roman"/>
          <w:b/>
          <w:sz w:val="32"/>
          <w:szCs w:val="32"/>
        </w:rPr>
      </w:pPr>
      <w:bookmarkStart w:id="0" w:name="_GoBack"/>
      <w:bookmarkEnd w:id="0"/>
      <w:r>
        <w:rPr>
          <w:rFonts w:hint="eastAsia" w:ascii="Times New Roman" w:hAnsi="Times New Roman" w:eastAsia="方正黑体简体" w:cs="Times New Roman"/>
          <w:b/>
          <w:sz w:val="32"/>
          <w:szCs w:val="32"/>
        </w:rPr>
        <w:t>附件</w:t>
      </w:r>
      <w:r>
        <w:rPr>
          <w:rFonts w:ascii="Times New Roman" w:hAnsi="Times New Roman" w:eastAsia="方正黑体简体" w:cs="Times New Roman"/>
          <w:b/>
          <w:sz w:val="32"/>
          <w:szCs w:val="32"/>
        </w:rPr>
        <w:t>1</w:t>
      </w:r>
    </w:p>
    <w:p w14:paraId="75A7DEB8">
      <w:pPr>
        <w:overflowPunct w:val="0"/>
        <w:adjustRightInd w:val="0"/>
        <w:snapToGrid w:val="0"/>
        <w:spacing w:line="720" w:lineRule="exact"/>
        <w:jc w:val="center"/>
        <w:rPr>
          <w:rFonts w:ascii="Times New Roman" w:hAnsi="Times New Roman" w:eastAsia="方正仿宋简体" w:cs="Times New Roman"/>
          <w:b/>
          <w:sz w:val="32"/>
          <w:szCs w:val="32"/>
        </w:rPr>
      </w:pPr>
    </w:p>
    <w:p w14:paraId="6A0B3357">
      <w:pPr>
        <w:adjustRightInd w:val="0"/>
        <w:snapToGrid w:val="0"/>
        <w:spacing w:line="720" w:lineRule="exact"/>
        <w:jc w:val="center"/>
        <w:rPr>
          <w:rFonts w:ascii="Times New Roman" w:hAnsi="Times New Roman" w:eastAsia="方正小标宋简体" w:cs="Times New Roman"/>
          <w:b/>
          <w:color w:val="000000"/>
          <w:sz w:val="44"/>
          <w:szCs w:val="44"/>
        </w:rPr>
      </w:pPr>
      <w:r>
        <w:rPr>
          <w:rFonts w:hint="eastAsia" w:ascii="Times New Roman" w:hAnsi="Times New Roman" w:eastAsia="方正小标宋简体" w:cs="Times New Roman"/>
          <w:b/>
          <w:color w:val="000000"/>
          <w:sz w:val="44"/>
          <w:szCs w:val="44"/>
        </w:rPr>
        <w:t>四川省烟草专卖条例（修订草案）</w:t>
      </w:r>
    </w:p>
    <w:p w14:paraId="1E57472C">
      <w:pPr>
        <w:adjustRightInd w:val="0"/>
        <w:snapToGrid w:val="0"/>
        <w:spacing w:line="720" w:lineRule="exact"/>
        <w:ind w:firstLine="640" w:firstLineChars="200"/>
        <w:rPr>
          <w:rFonts w:ascii="Times New Roman" w:hAnsi="Times New Roman" w:eastAsia="方正楷体简体" w:cs="Times New Roman"/>
          <w:color w:val="000000"/>
          <w:sz w:val="32"/>
          <w:szCs w:val="32"/>
        </w:rPr>
      </w:pPr>
    </w:p>
    <w:p w14:paraId="46B01103">
      <w:pPr>
        <w:adjustRightInd w:val="0"/>
        <w:snapToGrid w:val="0"/>
        <w:spacing w:line="600" w:lineRule="exact"/>
        <w:ind w:firstLine="643" w:firstLineChars="200"/>
        <w:jc w:val="center"/>
        <w:rPr>
          <w:rFonts w:ascii="Times New Roman" w:hAnsi="Times New Roman" w:eastAsia="方正楷体简体" w:cs="Times New Roman"/>
          <w:b/>
          <w:color w:val="000000"/>
          <w:sz w:val="32"/>
          <w:szCs w:val="32"/>
        </w:rPr>
      </w:pPr>
      <w:r>
        <w:rPr>
          <w:rFonts w:hint="eastAsia" w:ascii="Times New Roman" w:hAnsi="Times New Roman" w:eastAsia="方正楷体简体" w:cs="Times New Roman"/>
          <w:b/>
          <w:color w:val="000000"/>
          <w:sz w:val="32"/>
          <w:szCs w:val="32"/>
        </w:rPr>
        <w:t>目</w:t>
      </w:r>
      <w:r>
        <w:rPr>
          <w:rFonts w:ascii="Times New Roman" w:hAnsi="Times New Roman" w:eastAsia="方正楷体简体" w:cs="Times New Roman"/>
          <w:b/>
          <w:color w:val="000000"/>
          <w:sz w:val="32"/>
          <w:szCs w:val="32"/>
        </w:rPr>
        <w:t xml:space="preserve">  </w:t>
      </w:r>
      <w:r>
        <w:rPr>
          <w:rFonts w:hint="eastAsia" w:ascii="Times New Roman" w:hAnsi="Times New Roman" w:eastAsia="方正楷体简体" w:cs="Times New Roman"/>
          <w:b/>
          <w:color w:val="000000"/>
          <w:sz w:val="32"/>
          <w:szCs w:val="32"/>
        </w:rPr>
        <w:t>录</w:t>
      </w:r>
    </w:p>
    <w:p w14:paraId="4FB79837">
      <w:pPr>
        <w:adjustRightInd w:val="0"/>
        <w:snapToGrid w:val="0"/>
        <w:spacing w:line="600" w:lineRule="exact"/>
        <w:ind w:firstLine="643" w:firstLineChars="200"/>
        <w:jc w:val="center"/>
        <w:rPr>
          <w:rFonts w:ascii="Times New Roman" w:hAnsi="Times New Roman" w:eastAsia="方正楷体简体" w:cs="Times New Roman"/>
          <w:b/>
          <w:color w:val="000000"/>
          <w:sz w:val="32"/>
          <w:szCs w:val="32"/>
        </w:rPr>
      </w:pPr>
    </w:p>
    <w:p w14:paraId="216CB276">
      <w:pPr>
        <w:adjustRightInd w:val="0"/>
        <w:snapToGrid w:val="0"/>
        <w:spacing w:line="600" w:lineRule="exact"/>
        <w:ind w:firstLine="643" w:firstLineChars="200"/>
        <w:rPr>
          <w:rFonts w:ascii="Times New Roman" w:hAnsi="Times New Roman" w:eastAsia="方正楷体简体" w:cs="Times New Roman"/>
          <w:b/>
          <w:color w:val="000000"/>
          <w:sz w:val="32"/>
          <w:szCs w:val="32"/>
        </w:rPr>
      </w:pPr>
      <w:r>
        <w:rPr>
          <w:rFonts w:hint="eastAsia" w:ascii="Times New Roman" w:hAnsi="Times New Roman" w:eastAsia="方正楷体简体" w:cs="Times New Roman"/>
          <w:b/>
          <w:color w:val="000000"/>
          <w:sz w:val="32"/>
          <w:szCs w:val="32"/>
        </w:rPr>
        <w:t>第一章</w:t>
      </w:r>
      <w:r>
        <w:rPr>
          <w:rFonts w:ascii="Times New Roman" w:hAnsi="Times New Roman" w:eastAsia="方正楷体简体" w:cs="Times New Roman"/>
          <w:b/>
          <w:color w:val="000000"/>
          <w:sz w:val="32"/>
          <w:szCs w:val="32"/>
        </w:rPr>
        <w:t xml:space="preserve">  </w:t>
      </w:r>
      <w:r>
        <w:rPr>
          <w:rFonts w:hint="eastAsia" w:ascii="Times New Roman" w:hAnsi="Times New Roman" w:eastAsia="方正楷体简体" w:cs="Times New Roman"/>
          <w:b/>
          <w:color w:val="000000"/>
          <w:sz w:val="32"/>
          <w:szCs w:val="32"/>
        </w:rPr>
        <w:t>总则</w:t>
      </w:r>
    </w:p>
    <w:p w14:paraId="59787A53">
      <w:pPr>
        <w:adjustRightInd w:val="0"/>
        <w:snapToGrid w:val="0"/>
        <w:spacing w:line="600" w:lineRule="exact"/>
        <w:ind w:firstLine="643" w:firstLineChars="200"/>
        <w:rPr>
          <w:rFonts w:ascii="Times New Roman" w:hAnsi="Times New Roman" w:eastAsia="方正楷体简体" w:cs="Times New Roman"/>
          <w:b/>
          <w:color w:val="000000"/>
          <w:sz w:val="32"/>
          <w:szCs w:val="32"/>
        </w:rPr>
      </w:pPr>
      <w:r>
        <w:rPr>
          <w:rFonts w:hint="eastAsia" w:ascii="Times New Roman" w:hAnsi="Times New Roman" w:eastAsia="方正楷体简体" w:cs="Times New Roman"/>
          <w:b/>
          <w:color w:val="000000"/>
          <w:sz w:val="32"/>
          <w:szCs w:val="32"/>
        </w:rPr>
        <w:t>第二章</w:t>
      </w:r>
      <w:r>
        <w:rPr>
          <w:rFonts w:ascii="Times New Roman" w:hAnsi="Times New Roman" w:eastAsia="方正楷体简体" w:cs="Times New Roman"/>
          <w:b/>
          <w:color w:val="000000"/>
          <w:sz w:val="32"/>
          <w:szCs w:val="32"/>
        </w:rPr>
        <w:t xml:space="preserve">  </w:t>
      </w:r>
      <w:r>
        <w:rPr>
          <w:rFonts w:hint="eastAsia" w:ascii="Times New Roman" w:hAnsi="Times New Roman" w:eastAsia="方正楷体简体" w:cs="Times New Roman"/>
          <w:b/>
          <w:color w:val="000000"/>
          <w:sz w:val="32"/>
          <w:szCs w:val="32"/>
        </w:rPr>
        <w:t>烟叶种植与收购</w:t>
      </w:r>
    </w:p>
    <w:p w14:paraId="02E49AF4">
      <w:pPr>
        <w:adjustRightInd w:val="0"/>
        <w:snapToGrid w:val="0"/>
        <w:spacing w:line="600" w:lineRule="exact"/>
        <w:ind w:firstLine="643" w:firstLineChars="200"/>
        <w:rPr>
          <w:rFonts w:ascii="Times New Roman" w:hAnsi="Times New Roman" w:eastAsia="方正楷体简体" w:cs="Times New Roman"/>
          <w:b/>
          <w:color w:val="000000"/>
          <w:sz w:val="32"/>
          <w:szCs w:val="32"/>
        </w:rPr>
      </w:pPr>
      <w:r>
        <w:rPr>
          <w:rFonts w:hint="eastAsia" w:ascii="Times New Roman" w:hAnsi="Times New Roman" w:eastAsia="方正楷体简体" w:cs="Times New Roman"/>
          <w:b/>
          <w:color w:val="000000"/>
          <w:sz w:val="32"/>
          <w:szCs w:val="32"/>
        </w:rPr>
        <w:t>第三章</w:t>
      </w:r>
      <w:r>
        <w:rPr>
          <w:rFonts w:ascii="Times New Roman" w:hAnsi="Times New Roman" w:eastAsia="方正楷体简体" w:cs="Times New Roman"/>
          <w:b/>
          <w:color w:val="000000"/>
          <w:sz w:val="32"/>
          <w:szCs w:val="32"/>
        </w:rPr>
        <w:t xml:space="preserve">  </w:t>
      </w:r>
      <w:r>
        <w:rPr>
          <w:rFonts w:hint="eastAsia" w:ascii="Times New Roman" w:hAnsi="Times New Roman" w:eastAsia="方正楷体简体" w:cs="Times New Roman"/>
          <w:b/>
          <w:color w:val="000000"/>
          <w:sz w:val="32"/>
          <w:szCs w:val="32"/>
        </w:rPr>
        <w:t>烟草制品的生产、销售和烟草专卖品的运输</w:t>
      </w:r>
    </w:p>
    <w:p w14:paraId="584B9F96">
      <w:pPr>
        <w:adjustRightInd w:val="0"/>
        <w:snapToGrid w:val="0"/>
        <w:spacing w:line="600" w:lineRule="exact"/>
        <w:ind w:firstLine="643" w:firstLineChars="200"/>
        <w:rPr>
          <w:rFonts w:ascii="Times New Roman" w:hAnsi="Times New Roman" w:eastAsia="方正楷体简体" w:cs="Times New Roman"/>
          <w:b/>
          <w:color w:val="000000"/>
          <w:sz w:val="32"/>
          <w:szCs w:val="32"/>
        </w:rPr>
      </w:pPr>
      <w:r>
        <w:rPr>
          <w:rFonts w:hint="eastAsia" w:ascii="Times New Roman" w:hAnsi="Times New Roman" w:eastAsia="方正楷体简体" w:cs="Times New Roman"/>
          <w:b/>
          <w:color w:val="000000"/>
          <w:sz w:val="32"/>
          <w:szCs w:val="32"/>
        </w:rPr>
        <w:t>第四章</w:t>
      </w:r>
      <w:r>
        <w:rPr>
          <w:rFonts w:ascii="Times New Roman" w:hAnsi="Times New Roman" w:eastAsia="方正楷体简体" w:cs="Times New Roman"/>
          <w:b/>
          <w:color w:val="000000"/>
          <w:sz w:val="32"/>
          <w:szCs w:val="32"/>
        </w:rPr>
        <w:t xml:space="preserve">  </w:t>
      </w:r>
      <w:r>
        <w:rPr>
          <w:rFonts w:hint="eastAsia" w:ascii="Times New Roman" w:hAnsi="Times New Roman" w:eastAsia="方正楷体简体" w:cs="Times New Roman"/>
          <w:b/>
          <w:color w:val="000000"/>
          <w:sz w:val="32"/>
          <w:szCs w:val="32"/>
        </w:rPr>
        <w:t>监督管理</w:t>
      </w:r>
    </w:p>
    <w:p w14:paraId="5494F2E6">
      <w:pPr>
        <w:adjustRightInd w:val="0"/>
        <w:snapToGrid w:val="0"/>
        <w:spacing w:line="600" w:lineRule="exact"/>
        <w:ind w:firstLine="643" w:firstLineChars="200"/>
        <w:rPr>
          <w:rFonts w:ascii="Times New Roman" w:hAnsi="Times New Roman" w:eastAsia="方正楷体简体" w:cs="Times New Roman"/>
          <w:b/>
          <w:color w:val="000000"/>
          <w:sz w:val="32"/>
          <w:szCs w:val="32"/>
        </w:rPr>
      </w:pPr>
      <w:r>
        <w:rPr>
          <w:rFonts w:hint="eastAsia" w:ascii="Times New Roman" w:hAnsi="Times New Roman" w:eastAsia="方正楷体简体" w:cs="Times New Roman"/>
          <w:b/>
          <w:color w:val="000000"/>
          <w:sz w:val="32"/>
          <w:szCs w:val="32"/>
        </w:rPr>
        <w:t>第五章</w:t>
      </w:r>
      <w:r>
        <w:rPr>
          <w:rFonts w:ascii="Times New Roman" w:hAnsi="Times New Roman" w:eastAsia="方正楷体简体" w:cs="Times New Roman"/>
          <w:b/>
          <w:color w:val="000000"/>
          <w:sz w:val="32"/>
          <w:szCs w:val="32"/>
        </w:rPr>
        <w:t xml:space="preserve">  </w:t>
      </w:r>
      <w:r>
        <w:rPr>
          <w:rFonts w:hint="eastAsia" w:ascii="Times New Roman" w:hAnsi="Times New Roman" w:eastAsia="方正楷体简体" w:cs="Times New Roman"/>
          <w:b/>
          <w:color w:val="000000"/>
          <w:sz w:val="32"/>
          <w:szCs w:val="32"/>
        </w:rPr>
        <w:t>法律责任</w:t>
      </w:r>
    </w:p>
    <w:p w14:paraId="0D2E12AA">
      <w:pPr>
        <w:adjustRightInd w:val="0"/>
        <w:snapToGrid w:val="0"/>
        <w:spacing w:line="600" w:lineRule="exact"/>
        <w:ind w:firstLine="643" w:firstLineChars="200"/>
        <w:rPr>
          <w:rFonts w:ascii="Times New Roman" w:hAnsi="Times New Roman" w:eastAsia="方正楷体简体" w:cs="Times New Roman"/>
          <w:b/>
          <w:color w:val="000000"/>
          <w:sz w:val="32"/>
          <w:szCs w:val="32"/>
        </w:rPr>
      </w:pPr>
      <w:r>
        <w:rPr>
          <w:rFonts w:hint="eastAsia" w:ascii="Times New Roman" w:hAnsi="Times New Roman" w:eastAsia="方正楷体简体" w:cs="Times New Roman"/>
          <w:b/>
          <w:color w:val="000000"/>
          <w:sz w:val="32"/>
          <w:szCs w:val="32"/>
        </w:rPr>
        <w:t>第六章</w:t>
      </w:r>
      <w:r>
        <w:rPr>
          <w:rFonts w:ascii="Times New Roman" w:hAnsi="Times New Roman" w:eastAsia="方正楷体简体" w:cs="Times New Roman"/>
          <w:b/>
          <w:color w:val="000000"/>
          <w:sz w:val="32"/>
          <w:szCs w:val="32"/>
        </w:rPr>
        <w:t xml:space="preserve">  </w:t>
      </w:r>
      <w:r>
        <w:rPr>
          <w:rFonts w:hint="eastAsia" w:ascii="Times New Roman" w:hAnsi="Times New Roman" w:eastAsia="方正楷体简体" w:cs="Times New Roman"/>
          <w:b/>
          <w:color w:val="000000"/>
          <w:sz w:val="32"/>
          <w:szCs w:val="32"/>
        </w:rPr>
        <w:t>附则</w:t>
      </w:r>
    </w:p>
    <w:p w14:paraId="11CCC5E4">
      <w:pPr>
        <w:adjustRightInd w:val="0"/>
        <w:snapToGrid w:val="0"/>
        <w:spacing w:line="600" w:lineRule="exact"/>
        <w:rPr>
          <w:rFonts w:ascii="Times New Roman" w:hAnsi="Times New Roman" w:eastAsia="方正黑体简体" w:cs="Times New Roman"/>
          <w:b/>
          <w:color w:val="000000"/>
          <w:sz w:val="32"/>
          <w:szCs w:val="32"/>
        </w:rPr>
      </w:pPr>
    </w:p>
    <w:p w14:paraId="2AFA9044">
      <w:pPr>
        <w:adjustRightInd w:val="0"/>
        <w:snapToGrid w:val="0"/>
        <w:spacing w:line="600" w:lineRule="exact"/>
        <w:jc w:val="center"/>
        <w:rPr>
          <w:rFonts w:ascii="Times New Roman" w:hAnsi="Times New Roman" w:eastAsia="方正仿宋简体" w:cs="Times New Roman"/>
          <w:b/>
          <w:color w:val="000000"/>
          <w:sz w:val="32"/>
          <w:szCs w:val="32"/>
        </w:rPr>
      </w:pPr>
      <w:r>
        <w:rPr>
          <w:rFonts w:hint="eastAsia" w:ascii="Times New Roman" w:hAnsi="Times New Roman" w:eastAsia="方正黑体简体" w:cs="Times New Roman"/>
          <w:b/>
          <w:color w:val="000000"/>
          <w:sz w:val="32"/>
          <w:szCs w:val="32"/>
        </w:rPr>
        <w:t>第一章</w:t>
      </w:r>
      <w:r>
        <w:rPr>
          <w:rFonts w:ascii="Times New Roman" w:hAnsi="Times New Roman" w:eastAsia="方正黑体简体" w:cs="Times New Roman"/>
          <w:b/>
          <w:color w:val="000000"/>
          <w:sz w:val="32"/>
          <w:szCs w:val="32"/>
        </w:rPr>
        <w:t xml:space="preserve">  </w:t>
      </w:r>
      <w:r>
        <w:rPr>
          <w:rFonts w:hint="eastAsia" w:ascii="Times New Roman" w:hAnsi="Times New Roman" w:eastAsia="方正黑体简体" w:cs="Times New Roman"/>
          <w:b/>
          <w:color w:val="000000"/>
          <w:sz w:val="32"/>
          <w:szCs w:val="32"/>
        </w:rPr>
        <w:t>总</w:t>
      </w:r>
      <w:r>
        <w:rPr>
          <w:rFonts w:ascii="Times New Roman" w:hAnsi="Times New Roman" w:eastAsia="方正黑体简体" w:cs="Times New Roman"/>
          <w:b/>
          <w:color w:val="000000"/>
          <w:sz w:val="32"/>
          <w:szCs w:val="32"/>
        </w:rPr>
        <w:t xml:space="preserve">  </w:t>
      </w:r>
      <w:r>
        <w:rPr>
          <w:rFonts w:hint="eastAsia" w:ascii="Times New Roman" w:hAnsi="Times New Roman" w:eastAsia="方正黑体简体" w:cs="Times New Roman"/>
          <w:b/>
          <w:color w:val="000000"/>
          <w:sz w:val="32"/>
          <w:szCs w:val="32"/>
        </w:rPr>
        <w:t>则</w:t>
      </w:r>
    </w:p>
    <w:p w14:paraId="3ACFF7B1">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第一条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为加强烟草专卖管理，提高烟草制品质量，维护消费者合法权益，保证国家财政税收，根据《中华人民共和国烟草专卖法》《中华人民共和国烟草专卖法实施条例》等有关法律、法规，结合四川实际，制定本条例。</w:t>
      </w:r>
    </w:p>
    <w:p w14:paraId="6AFE2818">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第二条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在本省行政区域内从事烟叶种植和烟草专卖品生产、销售、存储、运输以及专卖管理等活动的单位和个人，均应遵守本条例。</w:t>
      </w:r>
    </w:p>
    <w:p w14:paraId="57A0072B">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本条例所称烟草专卖品，是指卷烟、雪茄烟、烟丝、复烤烟叶、烟叶、卷烟纸、滤嘴棒、烟用丝束及烟草专用机械。</w:t>
      </w:r>
    </w:p>
    <w:p w14:paraId="794B0810">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本条例所称烟草制品，是指卷烟、雪茄烟、烟丝、复烤烟叶。</w:t>
      </w:r>
    </w:p>
    <w:p w14:paraId="2DA459C4">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电子烟等新型烟草制品参照本条例卷烟的有关规定执行。</w:t>
      </w:r>
    </w:p>
    <w:p w14:paraId="638F260C">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第三条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县级以上烟草专卖行政主管部门负责本行政区域内的烟草专卖监督管理工作，受上一级烟草专卖行政主管部门和本级人民政府的双重领导，以上一级烟草专卖行政主管部门领导为主。</w:t>
      </w:r>
    </w:p>
    <w:p w14:paraId="658837D8">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公安、交通、市场监督管理、海关、邮政管理等部门在各自的职责范围内，协同烟草专卖行政主管部门做好烟草专卖监督管理工作。</w:t>
      </w:r>
    </w:p>
    <w:p w14:paraId="2BE226B5">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第四条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烟草专卖行政主管部门应当会同司法机关完善行政执法与刑事司法衔接机制，将涉嫌犯罪的案件及时移送公安机关处理。</w:t>
      </w:r>
    </w:p>
    <w:p w14:paraId="6AE2F897">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第五条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全社会应当加强吸烟（含电子烟等新型烟草制品）危害健康的宣传教育，禁止在中小学校、幼儿园和其他未成年人集中活动的公共场所吸烟，禁止中小学生吸烟。</w:t>
      </w:r>
    </w:p>
    <w:p w14:paraId="218A455F">
      <w:pPr>
        <w:adjustRightInd w:val="0"/>
        <w:snapToGrid w:val="0"/>
        <w:spacing w:line="600" w:lineRule="exact"/>
        <w:jc w:val="center"/>
        <w:rPr>
          <w:rFonts w:ascii="Times New Roman" w:hAnsi="Times New Roman" w:eastAsia="方正仿宋简体" w:cs="Times New Roman"/>
          <w:b/>
          <w:color w:val="000000"/>
          <w:sz w:val="32"/>
          <w:szCs w:val="32"/>
        </w:rPr>
      </w:pPr>
    </w:p>
    <w:p w14:paraId="2C42B1E3">
      <w:pPr>
        <w:adjustRightInd w:val="0"/>
        <w:snapToGrid w:val="0"/>
        <w:spacing w:line="600" w:lineRule="exact"/>
        <w:jc w:val="center"/>
        <w:rPr>
          <w:rFonts w:ascii="Times New Roman" w:hAnsi="Times New Roman" w:eastAsia="方正黑体简体" w:cs="Times New Roman"/>
          <w:b/>
          <w:color w:val="000000"/>
          <w:sz w:val="32"/>
          <w:szCs w:val="32"/>
        </w:rPr>
      </w:pPr>
      <w:r>
        <w:rPr>
          <w:rFonts w:hint="eastAsia" w:ascii="Times New Roman" w:hAnsi="Times New Roman" w:eastAsia="方正黑体简体" w:cs="Times New Roman"/>
          <w:b/>
          <w:color w:val="000000"/>
          <w:sz w:val="32"/>
          <w:szCs w:val="32"/>
        </w:rPr>
        <w:t>第二章</w:t>
      </w:r>
      <w:r>
        <w:rPr>
          <w:rFonts w:ascii="Times New Roman" w:hAnsi="Times New Roman" w:eastAsia="方正黑体简体" w:cs="Times New Roman"/>
          <w:b/>
          <w:color w:val="000000"/>
          <w:sz w:val="32"/>
          <w:szCs w:val="32"/>
        </w:rPr>
        <w:t xml:space="preserve">  </w:t>
      </w:r>
      <w:r>
        <w:rPr>
          <w:rFonts w:hint="eastAsia" w:ascii="Times New Roman" w:hAnsi="Times New Roman" w:eastAsia="方正黑体简体" w:cs="Times New Roman"/>
          <w:b/>
          <w:color w:val="000000"/>
          <w:sz w:val="32"/>
          <w:szCs w:val="32"/>
        </w:rPr>
        <w:t>烟叶种植与收购</w:t>
      </w:r>
    </w:p>
    <w:p w14:paraId="271E0218">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第六条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省级烟草专卖行政主管部门会同省人民政府有关部门对烟叶种植实行计划管理、统一规划、合理布局，对特色优质核心烟区、重点烟区和民族地区烟区在技术和资金上予以扶持，优先安排烟叶种植计划。积极推动烟草制品生产企业与烟叶产地联合发展烟叶种植基地。</w:t>
      </w:r>
    </w:p>
    <w:p w14:paraId="33DE8416">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第七条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烟叶产区人民政府应当做好粮经统筹，在适宜种烟区域范围内，推行科学的粮烟轮作制度，统筹烟田保护与粮食安全和乡村产业振兴。</w:t>
      </w:r>
    </w:p>
    <w:p w14:paraId="34198DB6">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第八条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鼓励开展烟叶种植科学研究和技术开发，提高烟叶质量。烟叶种植应当因地制宜地培育和推广优良品种。优良品种由当地烟草公司组织供应。</w:t>
      </w:r>
    </w:p>
    <w:p w14:paraId="7268D41B">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烟草公司或者其委托单位应当与烟叶种植者签订烟叶收购合同，签订的烟叶收购合同中，应当明确种植品种、种植面积、收购数量、收购价格、收购等级、扶持政策等内容。</w:t>
      </w:r>
    </w:p>
    <w:p w14:paraId="79028388">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第九条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未列入名晾晒烟名录的其他晾晒烟可以在集市贸易市场出售，但不得再销售或生产加工制作丝、末、粒状商品进行销售。</w:t>
      </w:r>
    </w:p>
    <w:p w14:paraId="26E7F772">
      <w:pPr>
        <w:adjustRightInd w:val="0"/>
        <w:snapToGrid w:val="0"/>
        <w:spacing w:line="600" w:lineRule="exact"/>
        <w:ind w:firstLine="640" w:firstLineChars="200"/>
        <w:rPr>
          <w:rFonts w:ascii="Times New Roman" w:hAnsi="Times New Roman" w:eastAsia="方正仿宋简体" w:cs="Times New Roman"/>
          <w:b/>
          <w:color w:val="000000"/>
          <w:sz w:val="32"/>
          <w:szCs w:val="32"/>
        </w:rPr>
      </w:pPr>
    </w:p>
    <w:p w14:paraId="60D337D3">
      <w:pPr>
        <w:adjustRightInd w:val="0"/>
        <w:snapToGrid w:val="0"/>
        <w:spacing w:line="600" w:lineRule="exact"/>
        <w:jc w:val="center"/>
        <w:rPr>
          <w:rFonts w:ascii="Times New Roman" w:hAnsi="Times New Roman" w:eastAsia="方正黑体简体" w:cs="Times New Roman"/>
          <w:b/>
          <w:color w:val="000000"/>
          <w:sz w:val="32"/>
          <w:szCs w:val="32"/>
        </w:rPr>
      </w:pPr>
      <w:r>
        <w:rPr>
          <w:rFonts w:hint="eastAsia" w:ascii="Times New Roman" w:hAnsi="Times New Roman" w:eastAsia="方正黑体简体" w:cs="Times New Roman"/>
          <w:b/>
          <w:color w:val="000000"/>
          <w:sz w:val="32"/>
          <w:szCs w:val="32"/>
        </w:rPr>
        <w:t>第三章</w:t>
      </w:r>
      <w:r>
        <w:rPr>
          <w:rFonts w:ascii="Times New Roman" w:hAnsi="Times New Roman" w:eastAsia="方正黑体简体" w:cs="Times New Roman"/>
          <w:b/>
          <w:color w:val="000000"/>
          <w:sz w:val="32"/>
          <w:szCs w:val="32"/>
        </w:rPr>
        <w:t xml:space="preserve">  </w:t>
      </w:r>
      <w:r>
        <w:rPr>
          <w:rFonts w:hint="eastAsia" w:ascii="Times New Roman" w:hAnsi="Times New Roman" w:eastAsia="方正黑体简体" w:cs="Times New Roman"/>
          <w:b/>
          <w:color w:val="000000"/>
          <w:sz w:val="32"/>
          <w:szCs w:val="32"/>
        </w:rPr>
        <w:t>烟草制品的生产、销售和烟草专卖品的运输</w:t>
      </w:r>
    </w:p>
    <w:p w14:paraId="7E77C57B">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第十条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烟草制品生产企业的设立，应依法报经国务院烟草专卖行政主管部门批准，取得生产企业许可证。未经批准，任何单位或者个人不得生产烟草制品。</w:t>
      </w:r>
    </w:p>
    <w:p w14:paraId="26FA3A16">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第十一条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从事烟草制品批发业务，应依法向省级烟草专卖行政主管部门提出申请，经批准取得烟草专卖批发企业许可证并依法取得营业执照后，在规定的经营范围和地域内从事烟草制品的批发业务。</w:t>
      </w:r>
    </w:p>
    <w:p w14:paraId="6D7F4B83">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第十二条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从事烟草制品零售业务应先取得营业执照，再依法向当地烟草专卖行政主管部门提出申请，经批准取得烟草专卖零售许可证后，在发证机关所在地烟草专卖批发企业进货，亮证经营。</w:t>
      </w:r>
    </w:p>
    <w:p w14:paraId="23BCFA3A">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第十三条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烟草专卖行政主管部门应加强对烟草制品、新型烟草制品、类烟产品以及烟草制品衍生品的监管，保护未成年人免受烟草侵害。</w:t>
      </w:r>
    </w:p>
    <w:p w14:paraId="11E395B6">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中小学校、幼儿园周边不得设置烟草制品销售网点，禁止向未成年人出售烟草制品。经营者应当在显著位置设置不向未成年人销售烟的标志，对难以判明是否是未成年人的，应当要求其出示身份证件。</w:t>
      </w:r>
    </w:p>
    <w:p w14:paraId="702D0033">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第十四条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公民、法人或者其他组织不得利用自动售货机或者其他自动售货形式，销售或者变相销售烟草制品。</w:t>
      </w:r>
    </w:p>
    <w:p w14:paraId="0DE582D0">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除取得烟草专卖生产企业许可证或者烟草专卖批发企业许可证的企业依法销售烟草专卖品外，任何公民、法人或者其他组织不得通过信息网络销售烟草专卖品。</w:t>
      </w:r>
    </w:p>
    <w:p w14:paraId="3AE66F15">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第十五条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未经国务院烟草专卖行政主管部门批准，不得设立烟草制品集中交易市场。</w:t>
      </w:r>
    </w:p>
    <w:p w14:paraId="6AADAACE">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第十六条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交通、邮政管理等部门应当协同烟草专卖行政主管部门对辖区物流寄递企业开展监督检查，查处物流寄递企业非法贩运烟草专卖品的行为。</w:t>
      </w:r>
    </w:p>
    <w:p w14:paraId="5E394F06">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第十七条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禁止销售、运输、存储、寄递走私烟草制品以及为其提供条件。</w:t>
      </w:r>
    </w:p>
    <w:p w14:paraId="2C3A9AF4">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禁止销售出口倒流国产烟、未缴付关税而流出免税店和保税区的烟草制品。</w:t>
      </w:r>
    </w:p>
    <w:p w14:paraId="38012C66">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禁止生产、销售、运输、存储、寄递假冒伪劣烟草制品以及为其提供条件。</w:t>
      </w:r>
    </w:p>
    <w:p w14:paraId="6AB4747D">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第十八条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省内跨县（市、区）运输烟草专卖品，应当持有省级烟草专卖行政主管部门或者其委托机构签发的准运证。</w:t>
      </w:r>
    </w:p>
    <w:p w14:paraId="20A7502B">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从事烟草制品零售业务的单位和个人，在发证机关所在地的县级行政区域范围内托运或者自运烟草制品，应当持有当地烟草专卖批发企业或者其委托单位出具的有效购货证明。</w:t>
      </w:r>
    </w:p>
    <w:p w14:paraId="6A8D0204">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寄递、异地携带烟叶、烟草制品、电子烟产品、雾化物、电子烟用烟碱等，不得超过国务院有关主管部门规定的限量。</w:t>
      </w:r>
    </w:p>
    <w:p w14:paraId="19BB73B0">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第十九条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烟草专卖品准运证应随货同行、证货相符；所运输的烟草专卖品不能使用同一运输工具的，应分别开具准运证。</w:t>
      </w:r>
    </w:p>
    <w:p w14:paraId="758480C8">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任何单位和个人不得为无准运证的单位或者个人承运烟草专卖品。</w:t>
      </w:r>
    </w:p>
    <w:p w14:paraId="35612FCE">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禁止烟草专卖品运输中的下列行为：</w:t>
      </w:r>
    </w:p>
    <w:p w14:paraId="2D95FC94">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（一）重复使用烟草专卖品准运证的；</w:t>
      </w:r>
    </w:p>
    <w:p w14:paraId="32BE5D33">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（二）使用过期、涂改、复印、伪造、变造的烟草专卖品准运证的；</w:t>
      </w:r>
    </w:p>
    <w:p w14:paraId="19EEAE50">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（三）不符合烟草专卖品准运证规定的运达地点、品种、数量的。</w:t>
      </w:r>
    </w:p>
    <w:p w14:paraId="4B07D9FE">
      <w:pPr>
        <w:adjustRightInd w:val="0"/>
        <w:snapToGrid w:val="0"/>
        <w:spacing w:line="600" w:lineRule="exact"/>
        <w:jc w:val="center"/>
        <w:rPr>
          <w:rFonts w:ascii="Times New Roman" w:hAnsi="Times New Roman" w:eastAsia="方正仿宋简体" w:cs="Times New Roman"/>
          <w:b/>
          <w:color w:val="000000"/>
          <w:sz w:val="32"/>
          <w:szCs w:val="32"/>
        </w:rPr>
      </w:pPr>
    </w:p>
    <w:p w14:paraId="5CAD3276">
      <w:pPr>
        <w:adjustRightInd w:val="0"/>
        <w:snapToGrid w:val="0"/>
        <w:spacing w:line="600" w:lineRule="exact"/>
        <w:jc w:val="center"/>
        <w:rPr>
          <w:rFonts w:ascii="Times New Roman" w:hAnsi="Times New Roman" w:eastAsia="方正黑体简体" w:cs="Times New Roman"/>
          <w:b/>
          <w:color w:val="000000"/>
          <w:sz w:val="32"/>
          <w:szCs w:val="32"/>
        </w:rPr>
      </w:pPr>
      <w:r>
        <w:rPr>
          <w:rFonts w:hint="eastAsia" w:ascii="Times New Roman" w:hAnsi="Times New Roman" w:eastAsia="方正黑体简体" w:cs="Times New Roman"/>
          <w:b/>
          <w:color w:val="000000"/>
          <w:sz w:val="32"/>
          <w:szCs w:val="32"/>
        </w:rPr>
        <w:t>第四章</w:t>
      </w:r>
      <w:r>
        <w:rPr>
          <w:rFonts w:ascii="Times New Roman" w:hAnsi="Times New Roman" w:eastAsia="方正黑体简体" w:cs="Times New Roman"/>
          <w:b/>
          <w:color w:val="000000"/>
          <w:sz w:val="32"/>
          <w:szCs w:val="32"/>
        </w:rPr>
        <w:t xml:space="preserve">  </w:t>
      </w:r>
      <w:r>
        <w:rPr>
          <w:rFonts w:hint="eastAsia" w:ascii="Times New Roman" w:hAnsi="Times New Roman" w:eastAsia="方正黑体简体" w:cs="Times New Roman"/>
          <w:b/>
          <w:color w:val="000000"/>
          <w:sz w:val="32"/>
          <w:szCs w:val="32"/>
        </w:rPr>
        <w:t>监督管理</w:t>
      </w:r>
    </w:p>
    <w:p w14:paraId="0E173D55">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第二十条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烟草专卖行政主管部门在依法查处违法案件时，可以行使以下职权：</w:t>
      </w:r>
    </w:p>
    <w:p w14:paraId="378405D3">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（一）对违法生产、销售、存储、运输、寄递的烟草专卖品进行检查；</w:t>
      </w:r>
    </w:p>
    <w:p w14:paraId="5207EA83">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（二）对当事人、证人以及有关单位和个人进行调查、询问，并要求其在笔录上签名或者盖章；</w:t>
      </w:r>
    </w:p>
    <w:p w14:paraId="139DCF3A">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（三）查阅、抄录或者复制与违法案件有关的合同、发票、账册、单据、记录、文件、业务函电和其他资料；</w:t>
      </w:r>
    </w:p>
    <w:p w14:paraId="0C9CD1A3">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（四）对涉案烟草专卖品的生产、存储、寄递经营场所和运输工具进行检查，对与违法行为有关的烟草专卖品、工具和其他物品可以先行登记保存。</w:t>
      </w:r>
    </w:p>
    <w:p w14:paraId="7480CBC1">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第二十一条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烟草专卖行政执法人员在执行公务时，应遵守以下规定：</w:t>
      </w:r>
    </w:p>
    <w:p w14:paraId="576252C6">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（一）执法时不得少于两名执法人员，并应出示国务院烟草专卖行政主管部门制发的检查证件；</w:t>
      </w:r>
    </w:p>
    <w:p w14:paraId="23725433">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二）收集证据时，可以采取抽样取证的方法；在证据可能灭失或者以后难以取得的情况下，经本级烟草专卖行政主管部门负责人批准，可以先行登记保存，并应当在七日内及时作出处理决定，在此期间，当事人或者有关人员不得销毁或者转移证据。</w:t>
      </w:r>
    </w:p>
    <w:p w14:paraId="56DBCE17">
      <w:pPr>
        <w:adjustRightInd w:val="0"/>
        <w:snapToGrid w:val="0"/>
        <w:spacing w:line="600" w:lineRule="exact"/>
        <w:ind w:firstLine="643" w:firstLineChars="200"/>
        <w:rPr>
          <w:rFonts w:ascii="Times New Roman" w:hAnsi="Times New Roman" w:eastAsia="方正仿宋简体" w:cs="Times New Roman"/>
          <w:b/>
          <w:bCs/>
          <w:color w:val="000000"/>
          <w:sz w:val="32"/>
          <w:szCs w:val="32"/>
        </w:rPr>
      </w:pPr>
      <w:r>
        <w:rPr>
          <w:rFonts w:hint="eastAsia" w:ascii="Times New Roman" w:hAnsi="Times New Roman" w:eastAsia="方正楷体简体" w:cs="Times New Roman"/>
          <w:b/>
          <w:color w:val="000000"/>
          <w:sz w:val="32"/>
          <w:szCs w:val="32"/>
        </w:rPr>
        <w:t>第二十二条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当事人在其烟草专卖品或者涉案物资被烟草专卖行政主管部门登记保存后，不接受调查处理的，经烟草专卖行政主管部门书面通知或者自公告通知之日起满</w:t>
      </w:r>
      <w:r>
        <w:rPr>
          <w:rFonts w:ascii="Times New Roman" w:hAnsi="Times New Roman" w:eastAsia="方正仿宋简体" w:cs="Times New Roman"/>
          <w:b/>
          <w:color w:val="000000"/>
          <w:sz w:val="32"/>
          <w:szCs w:val="32"/>
        </w:rPr>
        <w:t>60</w:t>
      </w:r>
      <w:r>
        <w:rPr>
          <w:rFonts w:hint="eastAsia" w:ascii="Times New Roman" w:hAnsi="Times New Roman" w:eastAsia="方正仿宋简体" w:cs="Times New Roman"/>
          <w:b/>
          <w:color w:val="000000"/>
          <w:sz w:val="32"/>
          <w:szCs w:val="32"/>
        </w:rPr>
        <w:t>日后仍不接受调查处理的，</w:t>
      </w:r>
      <w:r>
        <w:rPr>
          <w:rFonts w:hint="eastAsia" w:ascii="Times New Roman" w:hAnsi="Times New Roman" w:eastAsia="方正仿宋简体" w:cs="Times New Roman"/>
          <w:b/>
          <w:bCs/>
          <w:color w:val="000000"/>
          <w:sz w:val="32"/>
          <w:szCs w:val="32"/>
        </w:rPr>
        <w:t>按照国家有关规定处理。</w:t>
      </w:r>
    </w:p>
    <w:p w14:paraId="6B238B34">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第二十三条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省级烟草质量监督检测机构根据国家有关规定，对烟草制品、新型烟草制品以及类烟产品进行认定。</w:t>
      </w:r>
    </w:p>
    <w:p w14:paraId="123CA73B">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第二十四条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烟草专卖行政主管部门应当依法将失信信息纳入国家企业信用信息公示系统、省社会信用信息服务平台，予以公示；将有失信行为的市场主体列为重点监督检查对象，加强监督管理。</w:t>
      </w:r>
    </w:p>
    <w:p w14:paraId="4CE92F73">
      <w:pPr>
        <w:adjustRightInd w:val="0"/>
        <w:snapToGrid w:val="0"/>
        <w:spacing w:line="600" w:lineRule="exact"/>
        <w:jc w:val="center"/>
        <w:rPr>
          <w:rFonts w:ascii="Times New Roman" w:hAnsi="Times New Roman" w:eastAsia="方正黑体简体" w:cs="Times New Roman"/>
          <w:b/>
          <w:color w:val="000000"/>
          <w:sz w:val="32"/>
          <w:szCs w:val="32"/>
        </w:rPr>
      </w:pPr>
      <w:r>
        <w:rPr>
          <w:rFonts w:hint="eastAsia" w:ascii="Times New Roman" w:hAnsi="Times New Roman" w:eastAsia="方正黑体简体" w:cs="Times New Roman"/>
          <w:b/>
          <w:color w:val="000000"/>
          <w:sz w:val="32"/>
          <w:szCs w:val="32"/>
        </w:rPr>
        <w:t>第五章</w:t>
      </w:r>
      <w:r>
        <w:rPr>
          <w:rFonts w:ascii="Times New Roman" w:hAnsi="Times New Roman" w:eastAsia="方正黑体简体" w:cs="Times New Roman"/>
          <w:b/>
          <w:color w:val="000000"/>
          <w:sz w:val="32"/>
          <w:szCs w:val="32"/>
        </w:rPr>
        <w:t xml:space="preserve">  </w:t>
      </w:r>
      <w:r>
        <w:rPr>
          <w:rFonts w:hint="eastAsia" w:ascii="Times New Roman" w:hAnsi="Times New Roman" w:eastAsia="方正黑体简体" w:cs="Times New Roman"/>
          <w:b/>
          <w:color w:val="000000"/>
          <w:sz w:val="32"/>
          <w:szCs w:val="32"/>
        </w:rPr>
        <w:t>法律责任</w:t>
      </w:r>
    </w:p>
    <w:p w14:paraId="32C249BA">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第二十五条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违反本条例规定的行为，法律法规已有法律责任的，从其规定。</w:t>
      </w:r>
    </w:p>
    <w:p w14:paraId="1AF7D796">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第二十六条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生产、销售、存储假冒伪劣烟草制品的，烟草专卖行政主管部门或者市场监督管理部门责令其停止违法行为，没收其生产、销售、存储的烟草制品和违法所得及用于生产、销售的工具、设备和其他相关物资，可以并处生产、销售、存储烟草制品货值一倍以上二倍以下的罚款，构成犯罪的，依法追究刑事责任。</w:t>
      </w:r>
    </w:p>
    <w:p w14:paraId="0C22C7F6">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为假冒伪劣烟草制品的生产、销售、存储提供场地、运输服务及条件的，没收违法所得，可以并处</w:t>
      </w:r>
      <w:r>
        <w:rPr>
          <w:rFonts w:ascii="Times New Roman" w:hAnsi="Times New Roman" w:eastAsia="方正仿宋简体" w:cs="Times New Roman"/>
          <w:b/>
          <w:color w:val="000000"/>
          <w:sz w:val="32"/>
          <w:szCs w:val="32"/>
        </w:rPr>
        <w:t>2000</w:t>
      </w:r>
      <w:r>
        <w:rPr>
          <w:rFonts w:hint="eastAsia" w:ascii="Times New Roman" w:hAnsi="Times New Roman" w:eastAsia="方正仿宋简体" w:cs="Times New Roman"/>
          <w:b/>
          <w:color w:val="000000"/>
          <w:sz w:val="32"/>
          <w:szCs w:val="32"/>
        </w:rPr>
        <w:t>元以上</w:t>
      </w:r>
      <w:r>
        <w:rPr>
          <w:rFonts w:ascii="Times New Roman" w:hAnsi="Times New Roman" w:eastAsia="方正仿宋简体" w:cs="Times New Roman"/>
          <w:b/>
          <w:color w:val="000000"/>
          <w:sz w:val="32"/>
          <w:szCs w:val="32"/>
        </w:rPr>
        <w:t>5</w:t>
      </w:r>
      <w:r>
        <w:rPr>
          <w:rFonts w:hint="eastAsia" w:ascii="Times New Roman" w:hAnsi="Times New Roman" w:eastAsia="方正仿宋简体" w:cs="Times New Roman"/>
          <w:b/>
          <w:color w:val="000000"/>
          <w:sz w:val="32"/>
          <w:szCs w:val="32"/>
        </w:rPr>
        <w:t>万元以下罚款，构成犯罪的，依法追究刑事责任。</w:t>
      </w:r>
    </w:p>
    <w:p w14:paraId="3B41C890">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第二十七条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经营者违反本条例第十二条的，按照下列规定处罚：</w:t>
      </w:r>
    </w:p>
    <w:p w14:paraId="0B002747">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一）无烟草专卖零售许可证经营烟草制品零售业务的，由市场监督管理部门或者烟草专卖行政主管部门责令其停止经营烟草制品零售业务，没收违法所得，处违法经营总额百分之二十以上百分之五十以下的罚款。违法经营的烟草制品可以由烟草专卖行政主管部门按照市场批发价的百分之七十予以收购。</w:t>
      </w:r>
    </w:p>
    <w:p w14:paraId="66A4A56A">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（二）烟草专卖零售经营者未亮证经营的，由烟草专卖行政主管部门责令改正；拒不改正的，处</w:t>
      </w:r>
      <w:r>
        <w:rPr>
          <w:rFonts w:ascii="Times New Roman" w:hAnsi="Times New Roman" w:eastAsia="方正仿宋简体" w:cs="Times New Roman"/>
          <w:b/>
          <w:color w:val="000000"/>
          <w:sz w:val="32"/>
          <w:szCs w:val="32"/>
        </w:rPr>
        <w:t>50</w:t>
      </w:r>
      <w:r>
        <w:rPr>
          <w:rFonts w:hint="eastAsia" w:ascii="Times New Roman" w:hAnsi="Times New Roman" w:eastAsia="方正仿宋简体" w:cs="Times New Roman"/>
          <w:b/>
          <w:color w:val="000000"/>
          <w:sz w:val="32"/>
          <w:szCs w:val="32"/>
        </w:rPr>
        <w:t>元以上</w:t>
      </w:r>
      <w:r>
        <w:rPr>
          <w:rFonts w:ascii="Times New Roman" w:hAnsi="Times New Roman" w:eastAsia="方正仿宋简体" w:cs="Times New Roman"/>
          <w:b/>
          <w:color w:val="000000"/>
          <w:sz w:val="32"/>
          <w:szCs w:val="32"/>
        </w:rPr>
        <w:t>200</w:t>
      </w:r>
      <w:r>
        <w:rPr>
          <w:rFonts w:hint="eastAsia" w:ascii="Times New Roman" w:hAnsi="Times New Roman" w:eastAsia="方正仿宋简体" w:cs="Times New Roman"/>
          <w:b/>
          <w:color w:val="000000"/>
          <w:sz w:val="32"/>
          <w:szCs w:val="32"/>
        </w:rPr>
        <w:t>元以下罚款。</w:t>
      </w:r>
    </w:p>
    <w:p w14:paraId="68AA4F01">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第二十八条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违反本条例第十三条第二款规定，向未成年人出售烟草制品的，由烟草专卖行政主管部门责令限期改正，给予警告，没收违法所得，可以并处</w:t>
      </w:r>
      <w:r>
        <w:rPr>
          <w:rFonts w:ascii="Times New Roman" w:hAnsi="Times New Roman" w:eastAsia="方正仿宋简体" w:cs="Times New Roman"/>
          <w:b/>
          <w:color w:val="000000"/>
          <w:sz w:val="32"/>
          <w:szCs w:val="32"/>
        </w:rPr>
        <w:t>5</w:t>
      </w:r>
      <w:r>
        <w:rPr>
          <w:rFonts w:hint="eastAsia" w:ascii="Times New Roman" w:hAnsi="Times New Roman" w:eastAsia="方正仿宋简体" w:cs="Times New Roman"/>
          <w:b/>
          <w:color w:val="000000"/>
          <w:sz w:val="32"/>
          <w:szCs w:val="32"/>
        </w:rPr>
        <w:t>万元以下罚款；拒不改正或者情节严重的，责令停业整顿或者吊销烟草专卖许可证，可以并处</w:t>
      </w:r>
      <w:r>
        <w:rPr>
          <w:rFonts w:ascii="Times New Roman" w:hAnsi="Times New Roman" w:eastAsia="方正仿宋简体" w:cs="Times New Roman"/>
          <w:b/>
          <w:color w:val="000000"/>
          <w:sz w:val="32"/>
          <w:szCs w:val="32"/>
        </w:rPr>
        <w:t>5</w:t>
      </w:r>
      <w:r>
        <w:rPr>
          <w:rFonts w:hint="eastAsia" w:ascii="Times New Roman" w:hAnsi="Times New Roman" w:eastAsia="方正仿宋简体" w:cs="Times New Roman"/>
          <w:b/>
          <w:color w:val="000000"/>
          <w:sz w:val="32"/>
          <w:szCs w:val="32"/>
        </w:rPr>
        <w:t>万元以上</w:t>
      </w:r>
      <w:r>
        <w:rPr>
          <w:rFonts w:ascii="Times New Roman" w:hAnsi="Times New Roman" w:eastAsia="方正仿宋简体" w:cs="Times New Roman"/>
          <w:b/>
          <w:color w:val="000000"/>
          <w:sz w:val="32"/>
          <w:szCs w:val="32"/>
        </w:rPr>
        <w:t>50</w:t>
      </w:r>
      <w:r>
        <w:rPr>
          <w:rFonts w:hint="eastAsia" w:ascii="Times New Roman" w:hAnsi="Times New Roman" w:eastAsia="方正仿宋简体" w:cs="Times New Roman"/>
          <w:b/>
          <w:color w:val="000000"/>
          <w:sz w:val="32"/>
          <w:szCs w:val="32"/>
        </w:rPr>
        <w:t>万元以下罚款。</w:t>
      </w:r>
    </w:p>
    <w:p w14:paraId="6824C7FA">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第二十九条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违反本条例第十四条规定的，由烟草专卖行政主管部门责令改正，处</w:t>
      </w:r>
      <w:r>
        <w:rPr>
          <w:rFonts w:ascii="Times New Roman" w:hAnsi="Times New Roman" w:eastAsia="方正仿宋简体" w:cs="Times New Roman"/>
          <w:b/>
          <w:color w:val="000000"/>
          <w:sz w:val="32"/>
          <w:szCs w:val="32"/>
        </w:rPr>
        <w:t>3</w:t>
      </w:r>
      <w:r>
        <w:rPr>
          <w:rFonts w:hint="eastAsia" w:ascii="Times New Roman" w:hAnsi="Times New Roman" w:eastAsia="方正仿宋简体" w:cs="Times New Roman"/>
          <w:b/>
          <w:color w:val="000000"/>
          <w:sz w:val="32"/>
          <w:szCs w:val="32"/>
        </w:rPr>
        <w:t>万元以上</w:t>
      </w:r>
      <w:r>
        <w:rPr>
          <w:rFonts w:ascii="Times New Roman" w:hAnsi="Times New Roman" w:eastAsia="方正仿宋简体" w:cs="Times New Roman"/>
          <w:b/>
          <w:color w:val="000000"/>
          <w:sz w:val="32"/>
          <w:szCs w:val="32"/>
        </w:rPr>
        <w:t>10</w:t>
      </w:r>
      <w:r>
        <w:rPr>
          <w:rFonts w:hint="eastAsia" w:ascii="Times New Roman" w:hAnsi="Times New Roman" w:eastAsia="方正仿宋简体" w:cs="Times New Roman"/>
          <w:b/>
          <w:color w:val="000000"/>
          <w:sz w:val="32"/>
          <w:szCs w:val="32"/>
        </w:rPr>
        <w:t>万元以下罚款。</w:t>
      </w:r>
      <w:r>
        <w:rPr>
          <w:rFonts w:ascii="Times New Roman" w:hAnsi="Times New Roman" w:eastAsia="方正仿宋简体" w:cs="Times New Roman"/>
          <w:b/>
          <w:color w:val="000000"/>
          <w:sz w:val="32"/>
          <w:szCs w:val="32"/>
        </w:rPr>
        <w:t xml:space="preserve">  </w:t>
      </w:r>
    </w:p>
    <w:p w14:paraId="04347B03">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取得烟草专卖零售许可证的单位或者个人利用自动售货机或者其他自动售货形式销售或者变相销售烟草制品，或者通过信息网络销售烟草专卖品的，除按本条第一款予以罚款外，并责令持证人暂停烟草专卖业务、进行整顿，拒不整顿或者整顿不到位的，依法取消其从事烟草专卖业务的资格。</w:t>
      </w:r>
    </w:p>
    <w:p w14:paraId="67CB4B91">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第三十条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违反第十七条销售走私烟草制品、出口倒流国产烟、未缴付关税而流出免税店和保税区的烟草制品的，由海关、烟草专卖行政主管部门或者市场监督管理部门责令其停止销售，没收违法经营的烟草制品和违法所得，并处违法经营总额一倍以上三倍以下的罚款，构成犯罪的，依法追究刑事责任。</w:t>
      </w:r>
    </w:p>
    <w:p w14:paraId="4915E86C">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为走私烟草制品、出口倒流国产烟、未缴付关税而流出免税店和保税区的烟草制品提供存储、运输服务及条件的，没收违法所得，可并处</w:t>
      </w:r>
      <w:r>
        <w:rPr>
          <w:rFonts w:ascii="Times New Roman" w:hAnsi="Times New Roman" w:eastAsia="方正仿宋简体" w:cs="Times New Roman"/>
          <w:b/>
          <w:color w:val="000000"/>
          <w:sz w:val="32"/>
          <w:szCs w:val="32"/>
        </w:rPr>
        <w:t>2000</w:t>
      </w:r>
      <w:r>
        <w:rPr>
          <w:rFonts w:hint="eastAsia" w:ascii="Times New Roman" w:hAnsi="Times New Roman" w:eastAsia="方正仿宋简体" w:cs="Times New Roman"/>
          <w:b/>
          <w:color w:val="000000"/>
          <w:sz w:val="32"/>
          <w:szCs w:val="32"/>
        </w:rPr>
        <w:t>元以上</w:t>
      </w:r>
      <w:r>
        <w:rPr>
          <w:rFonts w:ascii="Times New Roman" w:hAnsi="Times New Roman" w:eastAsia="方正仿宋简体" w:cs="Times New Roman"/>
          <w:b/>
          <w:color w:val="000000"/>
          <w:sz w:val="32"/>
          <w:szCs w:val="32"/>
        </w:rPr>
        <w:t>5</w:t>
      </w:r>
      <w:r>
        <w:rPr>
          <w:rFonts w:hint="eastAsia" w:ascii="Times New Roman" w:hAnsi="Times New Roman" w:eastAsia="方正仿宋简体" w:cs="Times New Roman"/>
          <w:b/>
          <w:color w:val="000000"/>
          <w:sz w:val="32"/>
          <w:szCs w:val="32"/>
        </w:rPr>
        <w:t>万元以下罚款，构成犯罪的，依法追究刑事责任。</w:t>
      </w:r>
    </w:p>
    <w:p w14:paraId="2E32CB79">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第三十一条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烟草专卖零售经营者因违法经营被处罚两次以上或者拒绝接受检查的，烟草专卖行政主管部门可以吊销其烟草专卖零售许可证。</w:t>
      </w:r>
    </w:p>
    <w:p w14:paraId="05E39529">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第三十二条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对违反本条例的行为，海关、市场监督管理部门、烟草专卖行政主管部门都有管辖权的，由最先立案的行政机关管辖；立案查处的案件不属于本部门管辖的，应当及时依法移交有管辖权的部门处理。</w:t>
      </w:r>
    </w:p>
    <w:p w14:paraId="405E9551">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有关部门依法查获的假冒伪劣烟草制品，应交当地烟草专卖行政主管部门按国家有关规定依法公开销毁，禁止以任何方式销售。</w:t>
      </w:r>
    </w:p>
    <w:p w14:paraId="1C734ED1">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第三十三条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阻碍烟草专卖行政执法的，由公安机关依照《中华人民共和国治安管理处罚法》处罚；构成犯罪的，依法追究刑事责任。</w:t>
      </w:r>
    </w:p>
    <w:p w14:paraId="0466961E">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第三十四条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当事人对烟草专卖行政主管部门作出的具体行政行为不服的，可以依法向作出行政处罚决定的机关的上一级烟草专卖行政主管部门申请行政复议或者向人民法院提起行政诉讼。对行政处罚决定逾期不申请复议、不提起行政诉讼又不履行处罚决定的，作出处罚决定的行政机关可以依法强制执行或者申请人民法院强制执行。</w:t>
      </w:r>
    </w:p>
    <w:p w14:paraId="48CBB899">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第三十五条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烟草专卖行政主管部门和烟草公司工作人员利用职务上的便利，倒卖烟草专卖品，伪造、倒卖本条例规定的烟草专卖管理证件，走私烟草专卖品、制售假冒伪劣烟草专卖品或者为走私烟草专卖品、制售假冒伪劣烟草专卖品行为提供方便的，依法从重处理。</w:t>
      </w:r>
    </w:p>
    <w:p w14:paraId="46BD1CAA">
      <w:pPr>
        <w:adjustRightInd w:val="0"/>
        <w:snapToGrid w:val="0"/>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烟草专卖行政主管部门工作人员滥用职权、玩忽职守、徇私舞弊的，依法给予行政处分；构成犯罪的，依法追究刑事责任；给当事人造成损失的，依法予以赔偿。</w:t>
      </w:r>
    </w:p>
    <w:p w14:paraId="46087065">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第三十六条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对检举、协助查处烟草专卖违法案件的有功单位或者个人，烟草专卖行政主管部门应当依照有关规定给予奖励。</w:t>
      </w:r>
    </w:p>
    <w:p w14:paraId="7CC3B888">
      <w:pPr>
        <w:adjustRightInd w:val="0"/>
        <w:snapToGrid w:val="0"/>
        <w:spacing w:line="600" w:lineRule="exact"/>
        <w:ind w:firstLine="640" w:firstLineChars="200"/>
        <w:rPr>
          <w:rFonts w:ascii="Times New Roman" w:hAnsi="Times New Roman" w:eastAsia="方正仿宋简体" w:cs="Times New Roman"/>
          <w:b/>
          <w:color w:val="000000"/>
          <w:sz w:val="32"/>
          <w:szCs w:val="32"/>
        </w:rPr>
      </w:pPr>
    </w:p>
    <w:p w14:paraId="4DEDD05D">
      <w:pPr>
        <w:adjustRightInd w:val="0"/>
        <w:snapToGrid w:val="0"/>
        <w:spacing w:line="600" w:lineRule="exact"/>
        <w:jc w:val="center"/>
        <w:rPr>
          <w:rFonts w:ascii="Times New Roman" w:hAnsi="Times New Roman" w:eastAsia="方正黑体简体" w:cs="Times New Roman"/>
          <w:b/>
          <w:color w:val="000000"/>
          <w:sz w:val="32"/>
          <w:szCs w:val="32"/>
        </w:rPr>
      </w:pPr>
      <w:r>
        <w:rPr>
          <w:rFonts w:hint="eastAsia" w:ascii="Times New Roman" w:hAnsi="Times New Roman" w:eastAsia="方正黑体简体" w:cs="Times New Roman"/>
          <w:b/>
          <w:color w:val="000000"/>
          <w:sz w:val="32"/>
          <w:szCs w:val="32"/>
        </w:rPr>
        <w:t>第六章</w:t>
      </w:r>
      <w:r>
        <w:rPr>
          <w:rFonts w:ascii="Times New Roman" w:hAnsi="Times New Roman" w:eastAsia="方正黑体简体" w:cs="Times New Roman"/>
          <w:b/>
          <w:color w:val="000000"/>
          <w:sz w:val="32"/>
          <w:szCs w:val="32"/>
        </w:rPr>
        <w:t xml:space="preserve">  </w:t>
      </w:r>
      <w:r>
        <w:rPr>
          <w:rFonts w:hint="eastAsia" w:ascii="Times New Roman" w:hAnsi="Times New Roman" w:eastAsia="方正黑体简体" w:cs="Times New Roman"/>
          <w:b/>
          <w:color w:val="000000"/>
          <w:sz w:val="32"/>
          <w:szCs w:val="32"/>
        </w:rPr>
        <w:t>附</w:t>
      </w:r>
      <w:r>
        <w:rPr>
          <w:rFonts w:ascii="Times New Roman" w:hAnsi="Times New Roman" w:eastAsia="方正黑体简体" w:cs="Times New Roman"/>
          <w:b/>
          <w:color w:val="000000"/>
          <w:sz w:val="32"/>
          <w:szCs w:val="32"/>
        </w:rPr>
        <w:t xml:space="preserve">  </w:t>
      </w:r>
      <w:r>
        <w:rPr>
          <w:rFonts w:hint="eastAsia" w:ascii="Times New Roman" w:hAnsi="Times New Roman" w:eastAsia="方正黑体简体" w:cs="Times New Roman"/>
          <w:b/>
          <w:color w:val="000000"/>
          <w:sz w:val="32"/>
          <w:szCs w:val="32"/>
        </w:rPr>
        <w:t>则</w:t>
      </w:r>
    </w:p>
    <w:p w14:paraId="7608FFB7">
      <w:pPr>
        <w:adjustRightInd w:val="0"/>
        <w:snapToGrid w:val="0"/>
        <w:spacing w:line="600" w:lineRule="exact"/>
        <w:ind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楷体简体" w:cs="Times New Roman"/>
          <w:b/>
          <w:color w:val="000000"/>
          <w:sz w:val="32"/>
          <w:szCs w:val="32"/>
        </w:rPr>
        <w:t>第三十七条</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本条例自</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年</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月</w:t>
      </w:r>
      <w:r>
        <w:rPr>
          <w:rFonts w:ascii="Times New Roman" w:hAnsi="Times New Roman" w:eastAsia="方正仿宋简体" w:cs="Times New Roman"/>
          <w:b/>
          <w:color w:val="000000"/>
          <w:sz w:val="32"/>
          <w:szCs w:val="32"/>
        </w:rPr>
        <w:t xml:space="preserve">  </w:t>
      </w:r>
      <w:r>
        <w:rPr>
          <w:rFonts w:hint="eastAsia" w:ascii="Times New Roman" w:hAnsi="Times New Roman" w:eastAsia="方正仿宋简体" w:cs="Times New Roman"/>
          <w:b/>
          <w:color w:val="000000"/>
          <w:sz w:val="32"/>
          <w:szCs w:val="32"/>
        </w:rPr>
        <w:t>日起施行。</w:t>
      </w:r>
    </w:p>
    <w:p w14:paraId="70D2CD8B">
      <w:pPr>
        <w:adjustRightInd w:val="0"/>
        <w:snapToGrid w:val="0"/>
        <w:spacing w:line="600" w:lineRule="exact"/>
        <w:ind w:firstLine="640" w:firstLineChars="200"/>
        <w:rPr>
          <w:rFonts w:ascii="Times New Roman" w:hAnsi="Times New Roman" w:eastAsia="方正仿宋简体" w:cs="Times New Roman"/>
          <w:b/>
          <w:color w:val="000000"/>
          <w:sz w:val="32"/>
          <w:szCs w:val="32"/>
        </w:rPr>
      </w:pPr>
    </w:p>
    <w:p w14:paraId="432B7177">
      <w:pPr>
        <w:spacing w:line="600" w:lineRule="exact"/>
        <w:ind w:firstLine="640" w:firstLineChars="200"/>
        <w:rPr>
          <w:rFonts w:ascii="Times New Roman" w:hAnsi="Times New Roman" w:eastAsia="方正仿宋简体" w:cs="Times New Roman"/>
          <w:b/>
          <w:bCs/>
          <w:color w:val="000000"/>
          <w:sz w:val="32"/>
          <w:szCs w:val="32"/>
        </w:rPr>
      </w:pPr>
    </w:p>
    <w:p w14:paraId="62E2BCC1">
      <w:pPr>
        <w:overflowPunct w:val="0"/>
        <w:adjustRightInd w:val="0"/>
        <w:snapToGrid w:val="0"/>
        <w:spacing w:line="580" w:lineRule="exact"/>
        <w:ind w:right="640"/>
        <w:rPr>
          <w:rFonts w:ascii="Times New Roman" w:hAnsi="Times New Roman" w:eastAsia="方正仿宋简体" w:cs="Times New Roman"/>
          <w:b/>
          <w:sz w:val="32"/>
          <w:szCs w:val="32"/>
        </w:rPr>
      </w:pPr>
    </w:p>
    <w:p w14:paraId="605855E3">
      <w:pPr>
        <w:overflowPunct w:val="0"/>
        <w:adjustRightInd w:val="0"/>
        <w:snapToGrid w:val="0"/>
        <w:spacing w:line="580" w:lineRule="exact"/>
        <w:ind w:right="640"/>
        <w:rPr>
          <w:rFonts w:ascii="Times New Roman" w:hAnsi="Times New Roman" w:eastAsia="方正仿宋简体" w:cs="Times New Roman"/>
          <w:b/>
          <w:sz w:val="32"/>
          <w:szCs w:val="32"/>
        </w:rPr>
      </w:pPr>
    </w:p>
    <w:p w14:paraId="4ED4C93C">
      <w:pPr>
        <w:overflowPunct w:val="0"/>
        <w:adjustRightInd w:val="0"/>
        <w:snapToGrid w:val="0"/>
        <w:spacing w:line="580" w:lineRule="exact"/>
        <w:ind w:right="640"/>
        <w:rPr>
          <w:rFonts w:ascii="Times New Roman" w:hAnsi="Times New Roman" w:eastAsia="方正仿宋简体" w:cs="Times New Roman"/>
          <w:b/>
          <w:sz w:val="32"/>
          <w:szCs w:val="32"/>
        </w:rPr>
      </w:pPr>
    </w:p>
    <w:p w14:paraId="0264B773">
      <w:pPr>
        <w:overflowPunct w:val="0"/>
        <w:adjustRightInd w:val="0"/>
        <w:snapToGrid w:val="0"/>
        <w:spacing w:line="580" w:lineRule="exact"/>
        <w:ind w:right="640"/>
        <w:rPr>
          <w:rFonts w:ascii="Times New Roman" w:hAnsi="Times New Roman" w:eastAsia="方正仿宋简体" w:cs="Times New Roman"/>
          <w:b/>
          <w:sz w:val="32"/>
          <w:szCs w:val="32"/>
        </w:rPr>
      </w:pPr>
    </w:p>
    <w:p w14:paraId="33D23772">
      <w:pPr>
        <w:overflowPunct w:val="0"/>
        <w:adjustRightInd w:val="0"/>
        <w:snapToGrid w:val="0"/>
        <w:spacing w:line="580" w:lineRule="exact"/>
        <w:ind w:right="640"/>
        <w:rPr>
          <w:rFonts w:ascii="Times New Roman" w:hAnsi="Times New Roman" w:eastAsia="方正仿宋简体" w:cs="Times New Roman"/>
          <w:b/>
          <w:sz w:val="32"/>
          <w:szCs w:val="32"/>
        </w:rPr>
      </w:pPr>
    </w:p>
    <w:p w14:paraId="03D9C588">
      <w:pPr>
        <w:overflowPunct w:val="0"/>
        <w:adjustRightInd w:val="0"/>
        <w:snapToGrid w:val="0"/>
        <w:spacing w:line="580" w:lineRule="exact"/>
        <w:ind w:right="640"/>
        <w:rPr>
          <w:rFonts w:ascii="Times New Roman" w:hAnsi="Times New Roman" w:eastAsia="方正仿宋简体" w:cs="Times New Roman"/>
          <w:b/>
          <w:sz w:val="32"/>
          <w:szCs w:val="32"/>
        </w:rPr>
      </w:pPr>
    </w:p>
    <w:p w14:paraId="65C0E3F1">
      <w:pPr>
        <w:overflowPunct w:val="0"/>
        <w:adjustRightInd w:val="0"/>
        <w:snapToGrid w:val="0"/>
        <w:spacing w:line="580" w:lineRule="exact"/>
        <w:ind w:right="640"/>
        <w:rPr>
          <w:rFonts w:ascii="Times New Roman" w:hAnsi="Times New Roman" w:eastAsia="方正仿宋简体" w:cs="Times New Roman"/>
          <w:b/>
          <w:sz w:val="32"/>
          <w:szCs w:val="32"/>
        </w:rPr>
      </w:pPr>
    </w:p>
    <w:p w14:paraId="7D883D6F">
      <w:pPr>
        <w:overflowPunct w:val="0"/>
        <w:adjustRightInd w:val="0"/>
        <w:snapToGrid w:val="0"/>
        <w:spacing w:line="580" w:lineRule="exact"/>
        <w:ind w:right="640"/>
        <w:rPr>
          <w:rFonts w:ascii="Times New Roman" w:hAnsi="Times New Roman" w:eastAsia="方正仿宋简体" w:cs="Times New Roman"/>
          <w:b/>
          <w:sz w:val="32"/>
          <w:szCs w:val="32"/>
        </w:rPr>
      </w:pPr>
    </w:p>
    <w:p w14:paraId="79F1F1A5">
      <w:pP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附件</w:t>
      </w:r>
      <w:r>
        <w:rPr>
          <w:rFonts w:ascii="Times New Roman" w:hAnsi="Times New Roman" w:eastAsia="方正黑体简体" w:cs="Times New Roman"/>
          <w:b/>
          <w:sz w:val="32"/>
          <w:szCs w:val="32"/>
        </w:rPr>
        <w:t>2</w:t>
      </w:r>
    </w:p>
    <w:p w14:paraId="521ACAC0">
      <w:pPr>
        <w:overflowPunct w:val="0"/>
        <w:adjustRightInd w:val="0"/>
        <w:snapToGrid w:val="0"/>
        <w:spacing w:line="720" w:lineRule="exact"/>
        <w:jc w:val="center"/>
        <w:rPr>
          <w:rFonts w:ascii="Times New Roman" w:hAnsi="Times New Roman" w:eastAsia="方正仿宋简体" w:cs="Times New Roman"/>
          <w:b/>
          <w:sz w:val="32"/>
          <w:szCs w:val="32"/>
        </w:rPr>
      </w:pPr>
    </w:p>
    <w:p w14:paraId="0CB1BABA">
      <w:pPr>
        <w:tabs>
          <w:tab w:val="left" w:pos="720"/>
        </w:tabs>
        <w:spacing w:line="720" w:lineRule="exact"/>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关于《四川省烟草专卖条例（修订草案）》的说明</w:t>
      </w:r>
    </w:p>
    <w:p w14:paraId="334E3426">
      <w:pPr>
        <w:spacing w:line="720" w:lineRule="exact"/>
        <w:jc w:val="center"/>
        <w:rPr>
          <w:rFonts w:ascii="Times New Roman" w:hAnsi="Times New Roman" w:eastAsia="方正仿宋简体" w:cs="Times New Roman"/>
          <w:b/>
          <w:szCs w:val="24"/>
        </w:rPr>
      </w:pPr>
      <w:r>
        <w:rPr>
          <w:rFonts w:ascii="Times New Roman" w:hAnsi="Times New Roman" w:eastAsia="方正仿宋简体" w:cs="Times New Roman"/>
          <w:b/>
          <w:szCs w:val="24"/>
        </w:rPr>
        <w:t>——202</w:t>
      </w:r>
      <w:r>
        <w:rPr>
          <w:rFonts w:ascii="Times New Roman" w:hAnsi="Times New Roman" w:eastAsia="方正仿宋简体" w:cs="Times New Roman"/>
          <w:b/>
          <w:color w:val="000000"/>
          <w:szCs w:val="24"/>
        </w:rPr>
        <w:t>5</w:t>
      </w:r>
      <w:r>
        <w:rPr>
          <w:rFonts w:hint="eastAsia" w:ascii="Times New Roman" w:hAnsi="Times New Roman" w:eastAsia="方正仿宋简体" w:cs="Times New Roman"/>
          <w:b/>
          <w:color w:val="000000"/>
          <w:szCs w:val="24"/>
        </w:rPr>
        <w:t>年</w:t>
      </w:r>
      <w:r>
        <w:rPr>
          <w:rFonts w:ascii="Times New Roman" w:hAnsi="Times New Roman" w:eastAsia="方正仿宋简体" w:cs="Times New Roman"/>
          <w:b/>
          <w:color w:val="000000"/>
          <w:szCs w:val="24"/>
        </w:rPr>
        <w:t>9</w:t>
      </w:r>
      <w:r>
        <w:rPr>
          <w:rFonts w:hint="eastAsia" w:ascii="Times New Roman" w:hAnsi="Times New Roman" w:eastAsia="方正仿宋简体" w:cs="Times New Roman"/>
          <w:b/>
          <w:color w:val="000000"/>
          <w:szCs w:val="24"/>
        </w:rPr>
        <w:t>月</w:t>
      </w:r>
      <w:r>
        <w:rPr>
          <w:rFonts w:ascii="Times New Roman" w:hAnsi="Times New Roman" w:eastAsia="方正仿宋简体" w:cs="Times New Roman"/>
          <w:b/>
          <w:color w:val="000000"/>
          <w:szCs w:val="24"/>
        </w:rPr>
        <w:t xml:space="preserve"> </w:t>
      </w:r>
      <w:r>
        <w:rPr>
          <w:rFonts w:hint="eastAsia" w:ascii="Times New Roman" w:hAnsi="Times New Roman" w:eastAsia="方正仿宋简体" w:cs="Times New Roman"/>
          <w:b/>
          <w:color w:val="000000"/>
          <w:szCs w:val="24"/>
        </w:rPr>
        <w:t>日在四川省第十四届人民代表大会常务委员会第</w:t>
      </w:r>
      <w:r>
        <w:rPr>
          <w:rFonts w:hint="eastAsia" w:ascii="Times New Roman" w:hAnsi="Times New Roman" w:eastAsia="方正仿宋简体" w:cs="Times New Roman"/>
          <w:b/>
          <w:szCs w:val="24"/>
        </w:rPr>
        <w:t>二十一次会议上</w:t>
      </w:r>
    </w:p>
    <w:p w14:paraId="0C5356D0">
      <w:pPr>
        <w:spacing w:line="400" w:lineRule="exact"/>
        <w:rPr>
          <w:rFonts w:ascii="Times New Roman" w:hAnsi="Times New Roman" w:eastAsia="仿宋_GB2312" w:cs="Times New Roman"/>
          <w:b/>
          <w:sz w:val="30"/>
          <w:szCs w:val="30"/>
        </w:rPr>
      </w:pPr>
    </w:p>
    <w:p w14:paraId="63EA8431">
      <w:pPr>
        <w:spacing w:line="400" w:lineRule="exact"/>
        <w:jc w:val="center"/>
        <w:rPr>
          <w:rFonts w:ascii="Times New Roman" w:hAnsi="Times New Roman" w:eastAsia="方正楷体简体" w:cs="Times New Roman"/>
          <w:b/>
          <w:sz w:val="28"/>
          <w:szCs w:val="28"/>
        </w:rPr>
      </w:pPr>
      <w:r>
        <w:rPr>
          <w:rFonts w:hint="eastAsia" w:ascii="Times New Roman" w:hAnsi="Times New Roman" w:eastAsia="方正楷体简体" w:cs="Times New Roman"/>
          <w:b/>
          <w:sz w:val="28"/>
          <w:szCs w:val="28"/>
        </w:rPr>
        <w:t>四川省人大经济委员会主任委员</w:t>
      </w:r>
      <w:r>
        <w:rPr>
          <w:rFonts w:ascii="Times New Roman" w:hAnsi="Times New Roman" w:eastAsia="方正楷体简体" w:cs="Times New Roman"/>
          <w:b/>
          <w:sz w:val="28"/>
          <w:szCs w:val="28"/>
        </w:rPr>
        <w:t xml:space="preserve">    </w:t>
      </w:r>
      <w:r>
        <w:rPr>
          <w:rFonts w:hint="eastAsia" w:ascii="Times New Roman" w:hAnsi="Times New Roman" w:eastAsia="方正楷体简体" w:cs="Times New Roman"/>
          <w:b/>
          <w:sz w:val="28"/>
          <w:szCs w:val="28"/>
        </w:rPr>
        <w:t>刘中伯</w:t>
      </w:r>
    </w:p>
    <w:p w14:paraId="304E1EC5">
      <w:pPr>
        <w:spacing w:line="600" w:lineRule="exact"/>
        <w:jc w:val="center"/>
        <w:rPr>
          <w:rFonts w:ascii="Times New Roman" w:hAnsi="Times New Roman" w:eastAsia="方正楷体简体" w:cs="Times New Roman"/>
          <w:b/>
          <w:sz w:val="32"/>
          <w:szCs w:val="32"/>
        </w:rPr>
      </w:pPr>
    </w:p>
    <w:p w14:paraId="471A64C4">
      <w:pPr>
        <w:tabs>
          <w:tab w:val="left" w:pos="720"/>
        </w:tabs>
        <w:spacing w:line="600" w:lineRule="exact"/>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四川省人大常委会：</w:t>
      </w:r>
    </w:p>
    <w:p w14:paraId="620524CD">
      <w:pPr>
        <w:tabs>
          <w:tab w:val="left" w:pos="720"/>
        </w:tabs>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按照有关法律法规规定和省人大常委会安排，《四川省烟草专卖条例（修订草案）》（以下简称条例修订草案）由省人大经济委负责议案的起草及提请审议等工作，现将有关情况作如下说明。</w:t>
      </w:r>
    </w:p>
    <w:p w14:paraId="6FDF5ADD">
      <w:pPr>
        <w:tabs>
          <w:tab w:val="left" w:pos="720"/>
        </w:tabs>
        <w:spacing w:line="600" w:lineRule="exact"/>
        <w:ind w:firstLine="641" w:firstLineChars="200"/>
        <w:rPr>
          <w:rFonts w:ascii="方正黑体简体" w:hAnsi="Times New Roman" w:eastAsia="方正黑体简体" w:cs="Times New Roman"/>
          <w:b/>
          <w:color w:val="000000"/>
          <w:sz w:val="32"/>
          <w:szCs w:val="32"/>
        </w:rPr>
      </w:pPr>
      <w:r>
        <w:rPr>
          <w:rFonts w:hint="eastAsia" w:ascii="方正黑体简体" w:hAnsi="Times New Roman" w:eastAsia="方正黑体简体" w:cs="Times New Roman"/>
          <w:b/>
          <w:color w:val="000000"/>
          <w:sz w:val="32"/>
          <w:szCs w:val="32"/>
        </w:rPr>
        <w:t>一、修订的必要性</w:t>
      </w:r>
    </w:p>
    <w:p w14:paraId="34B797B9">
      <w:pPr>
        <w:tabs>
          <w:tab w:val="left" w:pos="720"/>
        </w:tabs>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bCs/>
          <w:color w:val="000000"/>
          <w:sz w:val="32"/>
          <w:szCs w:val="32"/>
        </w:rPr>
        <w:t>《四川省烟草专卖管理条例》（以下简称条例）于</w:t>
      </w:r>
      <w:r>
        <w:rPr>
          <w:rFonts w:ascii="Times New Roman" w:hAnsi="Times New Roman" w:eastAsia="方正仿宋简体" w:cs="Times New Roman"/>
          <w:b/>
          <w:bCs/>
          <w:color w:val="000000"/>
          <w:sz w:val="32"/>
          <w:szCs w:val="32"/>
        </w:rPr>
        <w:t>2001</w:t>
      </w:r>
      <w:r>
        <w:rPr>
          <w:rFonts w:hint="eastAsia" w:ascii="Times New Roman" w:hAnsi="Times New Roman" w:eastAsia="方正仿宋简体" w:cs="Times New Roman"/>
          <w:b/>
          <w:bCs/>
          <w:color w:val="000000"/>
          <w:sz w:val="32"/>
          <w:szCs w:val="32"/>
        </w:rPr>
        <w:t>年</w:t>
      </w:r>
      <w:r>
        <w:rPr>
          <w:rFonts w:ascii="Times New Roman" w:hAnsi="Times New Roman" w:eastAsia="方正仿宋简体" w:cs="Times New Roman"/>
          <w:b/>
          <w:bCs/>
          <w:color w:val="000000"/>
          <w:sz w:val="32"/>
          <w:szCs w:val="32"/>
        </w:rPr>
        <w:t>11</w:t>
      </w:r>
      <w:r>
        <w:rPr>
          <w:rFonts w:hint="eastAsia" w:ascii="Times New Roman" w:hAnsi="Times New Roman" w:eastAsia="方正仿宋简体" w:cs="Times New Roman"/>
          <w:b/>
          <w:bCs/>
          <w:color w:val="000000"/>
          <w:sz w:val="32"/>
          <w:szCs w:val="32"/>
        </w:rPr>
        <w:t>月</w:t>
      </w:r>
      <w:r>
        <w:rPr>
          <w:rFonts w:ascii="Times New Roman" w:hAnsi="Times New Roman" w:eastAsia="方正仿宋简体" w:cs="Times New Roman"/>
          <w:b/>
          <w:bCs/>
          <w:color w:val="000000"/>
          <w:sz w:val="32"/>
          <w:szCs w:val="32"/>
        </w:rPr>
        <w:t>23</w:t>
      </w:r>
      <w:r>
        <w:rPr>
          <w:rFonts w:hint="eastAsia" w:ascii="Times New Roman" w:hAnsi="Times New Roman" w:eastAsia="方正仿宋简体" w:cs="Times New Roman"/>
          <w:b/>
          <w:bCs/>
          <w:color w:val="000000"/>
          <w:sz w:val="32"/>
          <w:szCs w:val="32"/>
        </w:rPr>
        <w:t>日经省第九届人大常委会第二十六次会议通过，</w:t>
      </w:r>
      <w:r>
        <w:rPr>
          <w:rFonts w:ascii="Times New Roman" w:hAnsi="Times New Roman" w:eastAsia="方正仿宋简体" w:cs="Times New Roman"/>
          <w:b/>
          <w:bCs/>
          <w:color w:val="000000"/>
          <w:sz w:val="32"/>
          <w:szCs w:val="32"/>
        </w:rPr>
        <w:t>2004</w:t>
      </w:r>
      <w:r>
        <w:rPr>
          <w:rFonts w:hint="eastAsia" w:ascii="Times New Roman" w:hAnsi="Times New Roman" w:eastAsia="方正仿宋简体" w:cs="Times New Roman"/>
          <w:b/>
          <w:bCs/>
          <w:color w:val="000000"/>
          <w:sz w:val="32"/>
          <w:szCs w:val="32"/>
        </w:rPr>
        <w:t>年</w:t>
      </w:r>
      <w:r>
        <w:rPr>
          <w:rFonts w:ascii="Times New Roman" w:hAnsi="Times New Roman" w:eastAsia="方正仿宋简体" w:cs="Times New Roman"/>
          <w:b/>
          <w:bCs/>
          <w:color w:val="000000"/>
          <w:sz w:val="32"/>
          <w:szCs w:val="32"/>
        </w:rPr>
        <w:t>9</w:t>
      </w:r>
      <w:r>
        <w:rPr>
          <w:rFonts w:hint="eastAsia" w:ascii="Times New Roman" w:hAnsi="Times New Roman" w:eastAsia="方正仿宋简体" w:cs="Times New Roman"/>
          <w:b/>
          <w:bCs/>
          <w:color w:val="000000"/>
          <w:sz w:val="32"/>
          <w:szCs w:val="32"/>
        </w:rPr>
        <w:t>月</w:t>
      </w:r>
      <w:r>
        <w:rPr>
          <w:rFonts w:ascii="Times New Roman" w:hAnsi="Times New Roman" w:eastAsia="方正仿宋简体" w:cs="Times New Roman"/>
          <w:b/>
          <w:bCs/>
          <w:color w:val="000000"/>
          <w:sz w:val="32"/>
          <w:szCs w:val="32"/>
        </w:rPr>
        <w:t>24</w:t>
      </w:r>
      <w:r>
        <w:rPr>
          <w:rFonts w:hint="eastAsia" w:ascii="Times New Roman" w:hAnsi="Times New Roman" w:eastAsia="方正仿宋简体" w:cs="Times New Roman"/>
          <w:b/>
          <w:bCs/>
          <w:color w:val="000000"/>
          <w:sz w:val="32"/>
          <w:szCs w:val="32"/>
        </w:rPr>
        <w:t>日省第十届人大常委会第十一次会议修正</w:t>
      </w:r>
      <w:r>
        <w:rPr>
          <w:rFonts w:hint="eastAsia" w:ascii="Times New Roman" w:hAnsi="Times New Roman" w:eastAsia="方正仿宋简体" w:cs="Times New Roman"/>
          <w:b/>
          <w:color w:val="000000"/>
          <w:sz w:val="32"/>
          <w:szCs w:val="32"/>
        </w:rPr>
        <w:t>，距今已</w:t>
      </w:r>
      <w:r>
        <w:rPr>
          <w:rFonts w:ascii="Times New Roman" w:hAnsi="Times New Roman" w:eastAsia="方正仿宋简体" w:cs="Times New Roman"/>
          <w:b/>
          <w:color w:val="000000"/>
          <w:sz w:val="32"/>
          <w:szCs w:val="32"/>
        </w:rPr>
        <w:t>20</w:t>
      </w:r>
      <w:r>
        <w:rPr>
          <w:rFonts w:hint="eastAsia" w:ascii="Times New Roman" w:hAnsi="Times New Roman" w:eastAsia="方正仿宋简体" w:cs="Times New Roman"/>
          <w:b/>
          <w:color w:val="000000"/>
          <w:sz w:val="32"/>
          <w:szCs w:val="32"/>
        </w:rPr>
        <w:t>余年。条例的实施，</w:t>
      </w:r>
      <w:r>
        <w:rPr>
          <w:rFonts w:hint="eastAsia" w:ascii="Times New Roman" w:hAnsi="Times New Roman" w:eastAsia="方正仿宋简体" w:cs="Times New Roman"/>
          <w:b/>
          <w:bCs/>
          <w:color w:val="000000"/>
          <w:sz w:val="32"/>
          <w:szCs w:val="32"/>
        </w:rPr>
        <w:t>对促进产业发展、强化行业管理、维护国家和消费者利益都发挥了重要作用。随着国家有关法律相继修订，条例部分条款已不适应烟草专卖实践需要和形势发展变化，确有必要进行</w:t>
      </w:r>
      <w:r>
        <w:rPr>
          <w:rFonts w:hint="eastAsia" w:ascii="Times New Roman" w:hAnsi="Times New Roman" w:eastAsia="方正仿宋简体" w:cs="Times New Roman"/>
          <w:b/>
          <w:color w:val="000000"/>
          <w:sz w:val="32"/>
          <w:szCs w:val="32"/>
        </w:rPr>
        <w:t>修订。</w:t>
      </w:r>
    </w:p>
    <w:p w14:paraId="1700986D">
      <w:pPr>
        <w:tabs>
          <w:tab w:val="left" w:pos="720"/>
        </w:tabs>
        <w:spacing w:line="600" w:lineRule="exact"/>
        <w:ind w:firstLine="643" w:firstLineChars="200"/>
        <w:rPr>
          <w:rFonts w:ascii="Times New Roman" w:hAnsi="Times New Roman" w:eastAsia="方正仿宋简体" w:cs="Times New Roman"/>
          <w:b/>
          <w:color w:val="000000"/>
          <w:sz w:val="32"/>
          <w:szCs w:val="32"/>
        </w:rPr>
      </w:pPr>
      <w:r>
        <w:rPr>
          <w:rFonts w:hint="eastAsia" w:ascii="方正楷体简体" w:hAnsi="Times New Roman" w:eastAsia="方正楷体简体" w:cs="Times New Roman"/>
          <w:b/>
          <w:color w:val="000000"/>
          <w:sz w:val="32"/>
          <w:szCs w:val="32"/>
        </w:rPr>
        <w:t>（一）贯彻党中央、国务院决策部署的需要。</w:t>
      </w:r>
      <w:r>
        <w:rPr>
          <w:rFonts w:hint="eastAsia" w:ascii="Times New Roman" w:hAnsi="Times New Roman" w:eastAsia="方正仿宋简体" w:cs="Times New Roman"/>
          <w:b/>
          <w:color w:val="000000"/>
          <w:sz w:val="32"/>
          <w:szCs w:val="32"/>
        </w:rPr>
        <w:t>党的十八大以来，习近平总书记多次就烟草工作作出重要指示和批示，为做好新形势下烟草工作提供了根本遵循。中共中央、国务院《关于新时代加快完善社会主义市场经济体制的意见》提出了“完善烟草专卖专营体制，构建适度竞争新机制”的要求，通过修订</w:t>
      </w:r>
      <w:r>
        <w:rPr>
          <w:rFonts w:hint="eastAsia" w:ascii="Times New Roman" w:hAnsi="Times New Roman" w:eastAsia="方正仿宋简体" w:cs="Times New Roman"/>
          <w:b/>
          <w:bCs/>
          <w:color w:val="000000"/>
          <w:sz w:val="32"/>
          <w:szCs w:val="32"/>
        </w:rPr>
        <w:t>条例维护和完善烟草专卖管理制度，进一步规范烟草市场秩序，</w:t>
      </w:r>
      <w:r>
        <w:rPr>
          <w:rFonts w:hint="eastAsia" w:ascii="Times New Roman" w:hAnsi="Times New Roman" w:eastAsia="方正仿宋简体" w:cs="Times New Roman"/>
          <w:b/>
          <w:color w:val="000000"/>
          <w:sz w:val="32"/>
          <w:szCs w:val="32"/>
        </w:rPr>
        <w:t>是落实中央部署的具体行动。</w:t>
      </w:r>
    </w:p>
    <w:p w14:paraId="024F4462">
      <w:pPr>
        <w:tabs>
          <w:tab w:val="left" w:pos="720"/>
        </w:tabs>
        <w:spacing w:line="600" w:lineRule="exact"/>
        <w:ind w:firstLine="643" w:firstLineChars="200"/>
        <w:rPr>
          <w:rFonts w:ascii="方正楷体简体" w:hAnsi="Times New Roman" w:eastAsia="方正楷体简体" w:cs="Times New Roman"/>
          <w:b/>
          <w:bCs/>
          <w:color w:val="000000"/>
          <w:sz w:val="32"/>
          <w:szCs w:val="32"/>
        </w:rPr>
      </w:pPr>
      <w:r>
        <w:rPr>
          <w:rFonts w:hint="eastAsia" w:ascii="方正楷体简体" w:hAnsi="Times New Roman" w:eastAsia="方正楷体简体" w:cs="Times New Roman"/>
          <w:b/>
          <w:bCs/>
          <w:color w:val="000000"/>
          <w:sz w:val="32"/>
          <w:szCs w:val="32"/>
        </w:rPr>
        <w:t>（二）促进我省烟草产业高质量发展的需要。</w:t>
      </w:r>
      <w:r>
        <w:rPr>
          <w:rFonts w:hint="eastAsia" w:ascii="Times New Roman" w:hAnsi="Times New Roman" w:eastAsia="方正仿宋简体" w:cs="Times New Roman"/>
          <w:b/>
          <w:color w:val="000000"/>
          <w:sz w:val="32"/>
          <w:szCs w:val="32"/>
        </w:rPr>
        <w:t>省委高度重视烟草工作，提出“进一步稳住烟叶生产、工业产出、市场销售、财税贡献，推动烟草产业高质量发展，为新时代治蜀兴川再上新台阶贡献更大力量”的要求。修订条例，是落实省委要求的务实举措，有利于全面推进法治烟草建设，促进我省烟草产业高质量发展。</w:t>
      </w:r>
    </w:p>
    <w:p w14:paraId="7B0263AC">
      <w:pPr>
        <w:tabs>
          <w:tab w:val="left" w:pos="720"/>
        </w:tabs>
        <w:spacing w:line="600" w:lineRule="exact"/>
        <w:ind w:firstLine="643" w:firstLineChars="200"/>
        <w:rPr>
          <w:rFonts w:ascii="Times New Roman" w:hAnsi="Times New Roman" w:eastAsia="方正仿宋简体" w:cs="Times New Roman"/>
          <w:b/>
          <w:bCs/>
          <w:color w:val="000000"/>
          <w:sz w:val="32"/>
          <w:szCs w:val="32"/>
        </w:rPr>
      </w:pPr>
      <w:r>
        <w:rPr>
          <w:rFonts w:hint="eastAsia" w:ascii="方正楷体简体" w:hAnsi="Times New Roman" w:eastAsia="方正楷体简体" w:cs="Times New Roman"/>
          <w:b/>
          <w:bCs/>
          <w:color w:val="000000"/>
          <w:sz w:val="32"/>
          <w:szCs w:val="32"/>
        </w:rPr>
        <w:t>（三）适应新形势、解决新问题的需要。</w:t>
      </w:r>
      <w:r>
        <w:rPr>
          <w:rFonts w:hint="eastAsia" w:ascii="Times New Roman" w:hAnsi="Times New Roman" w:eastAsia="方正仿宋简体" w:cs="Times New Roman"/>
          <w:b/>
          <w:color w:val="000000"/>
          <w:sz w:val="32"/>
          <w:szCs w:val="32"/>
        </w:rPr>
        <w:t>当前基层烟草管</w:t>
      </w:r>
      <w:r>
        <w:rPr>
          <w:rFonts w:hint="eastAsia" w:ascii="Times New Roman" w:hAnsi="Times New Roman" w:eastAsia="方正仿宋简体" w:cs="Times New Roman"/>
          <w:b/>
          <w:bCs/>
          <w:color w:val="000000"/>
          <w:sz w:val="32"/>
          <w:szCs w:val="32"/>
        </w:rPr>
        <w:t>理单位和执法人员普遍反映，烟草专卖执法环境和要求变化很大。涉烟违法行为呈现新趋势，出现了电子烟、加热卷烟等新型烟草制品，利用信息网络、自动售烟机等形式违法销售卷烟的新渠道，通过物流寄递企业大量贩运卷烟的新情况。条例对上述行为缺乏监管规定或规定不够细化、可操作性不强，亟待修订。</w:t>
      </w:r>
    </w:p>
    <w:p w14:paraId="2E5DD392">
      <w:pPr>
        <w:tabs>
          <w:tab w:val="left" w:pos="720"/>
        </w:tabs>
        <w:spacing w:line="600" w:lineRule="exact"/>
        <w:ind w:firstLine="641" w:firstLineChars="200"/>
        <w:rPr>
          <w:rFonts w:ascii="方正黑体简体" w:hAnsi="Times New Roman" w:eastAsia="方正黑体简体" w:cs="Times New Roman"/>
          <w:b/>
          <w:color w:val="000000"/>
          <w:sz w:val="32"/>
          <w:szCs w:val="32"/>
        </w:rPr>
      </w:pPr>
      <w:r>
        <w:rPr>
          <w:rFonts w:hint="eastAsia" w:ascii="方正黑体简体" w:hAnsi="Times New Roman" w:eastAsia="方正黑体简体" w:cs="Times New Roman"/>
          <w:b/>
          <w:color w:val="000000"/>
          <w:sz w:val="32"/>
          <w:szCs w:val="32"/>
        </w:rPr>
        <w:t>二、修订草案起草过程</w:t>
      </w:r>
    </w:p>
    <w:p w14:paraId="24EBC7C6">
      <w:pPr>
        <w:tabs>
          <w:tab w:val="left" w:pos="720"/>
        </w:tabs>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按照省人大常委会工作安排，修订条例列入了</w:t>
      </w:r>
      <w:r>
        <w:rPr>
          <w:rFonts w:ascii="Times New Roman" w:hAnsi="Times New Roman" w:eastAsia="方正仿宋简体" w:cs="Times New Roman"/>
          <w:b/>
          <w:color w:val="000000"/>
          <w:sz w:val="32"/>
          <w:szCs w:val="32"/>
        </w:rPr>
        <w:t>2024</w:t>
      </w:r>
      <w:r>
        <w:rPr>
          <w:rFonts w:hint="eastAsia" w:ascii="Times New Roman" w:hAnsi="Times New Roman" w:eastAsia="方正仿宋简体" w:cs="Times New Roman"/>
          <w:b/>
          <w:color w:val="000000"/>
          <w:sz w:val="32"/>
          <w:szCs w:val="32"/>
        </w:rPr>
        <w:t>年省人大常委会立法计划预备审议项目，</w:t>
      </w:r>
      <w:r>
        <w:rPr>
          <w:rFonts w:ascii="Times New Roman" w:hAnsi="Times New Roman" w:eastAsia="方正仿宋简体" w:cs="Times New Roman"/>
          <w:b/>
          <w:color w:val="000000"/>
          <w:sz w:val="32"/>
          <w:szCs w:val="32"/>
        </w:rPr>
        <w:t>2024</w:t>
      </w:r>
      <w:r>
        <w:rPr>
          <w:rFonts w:hint="eastAsia" w:ascii="Times New Roman" w:hAnsi="Times New Roman" w:eastAsia="方正仿宋简体" w:cs="Times New Roman"/>
          <w:b/>
          <w:color w:val="000000"/>
          <w:sz w:val="32"/>
          <w:szCs w:val="32"/>
        </w:rPr>
        <w:t>年，省人大经济委先后赴凉山、攀枝花开展立法调研。</w:t>
      </w:r>
      <w:r>
        <w:rPr>
          <w:rFonts w:ascii="Times New Roman" w:hAnsi="Times New Roman" w:eastAsia="方正仿宋简体" w:cs="Times New Roman"/>
          <w:b/>
          <w:color w:val="000000"/>
          <w:sz w:val="32"/>
          <w:szCs w:val="32"/>
        </w:rPr>
        <w:t>2025</w:t>
      </w:r>
      <w:r>
        <w:rPr>
          <w:rFonts w:hint="eastAsia" w:ascii="Times New Roman" w:hAnsi="Times New Roman" w:eastAsia="方正仿宋简体" w:cs="Times New Roman"/>
          <w:b/>
          <w:color w:val="000000"/>
          <w:sz w:val="32"/>
          <w:szCs w:val="32"/>
        </w:rPr>
        <w:t>年，修订条例列入省人大常委会立法计划审议项目，</w:t>
      </w:r>
      <w:r>
        <w:rPr>
          <w:rFonts w:hint="eastAsia" w:ascii="Times New Roman" w:hAnsi="Times New Roman" w:eastAsia="方正仿宋简体" w:cs="Times New Roman"/>
          <w:b/>
          <w:bCs/>
          <w:color w:val="000000"/>
          <w:sz w:val="32"/>
          <w:szCs w:val="32"/>
        </w:rPr>
        <w:t>经济委有序推进相关工作。一是精心组织安排。及时制定工作方案，成立工作专班，明确各阶段工作要点和责任分工，加强资料收集和研究，及时沟通汇报工作进展。二是深入开展调研。围绕有关重点内容，先后赴成都、阿坝等地持续开展调研。三是广泛征求意见。</w:t>
      </w:r>
      <w:r>
        <w:rPr>
          <w:rFonts w:hint="eastAsia" w:ascii="Times New Roman" w:hAnsi="Times New Roman" w:eastAsia="方正仿宋简体" w:cs="Times New Roman"/>
          <w:b/>
          <w:color w:val="000000"/>
          <w:sz w:val="32"/>
          <w:szCs w:val="32"/>
        </w:rPr>
        <w:t>充分征求省人大各专门委员会、常委会有关工作机构、省政府办公厅、相关省级部门、</w:t>
      </w:r>
      <w:r>
        <w:rPr>
          <w:rFonts w:ascii="Times New Roman" w:hAnsi="Times New Roman" w:eastAsia="方正仿宋简体" w:cs="Times New Roman"/>
          <w:b/>
          <w:color w:val="000000"/>
          <w:sz w:val="32"/>
          <w:szCs w:val="32"/>
        </w:rPr>
        <w:t>21</w:t>
      </w:r>
      <w:r>
        <w:rPr>
          <w:rFonts w:hint="eastAsia" w:ascii="Times New Roman" w:hAnsi="Times New Roman" w:eastAsia="方正仿宋简体" w:cs="Times New Roman"/>
          <w:b/>
          <w:color w:val="000000"/>
          <w:sz w:val="32"/>
          <w:szCs w:val="32"/>
        </w:rPr>
        <w:t>个市（州）人大常委会以及部分人大代表的意见建议，并认真研究吸纳各方意见。四是依法召开听证会。</w:t>
      </w:r>
      <w:r>
        <w:rPr>
          <w:rFonts w:hint="eastAsia" w:ascii="Times New Roman" w:hAnsi="Times New Roman" w:eastAsia="方正仿宋简体" w:cs="Times New Roman"/>
          <w:b/>
          <w:bCs/>
          <w:color w:val="000000"/>
          <w:sz w:val="32"/>
          <w:szCs w:val="32"/>
        </w:rPr>
        <w:t>根据相关法律法规的规定，</w:t>
      </w:r>
      <w:r>
        <w:rPr>
          <w:rFonts w:hint="eastAsia" w:ascii="Times New Roman" w:hAnsi="Times New Roman" w:eastAsia="方正仿宋简体" w:cs="Times New Roman"/>
          <w:b/>
          <w:color w:val="000000"/>
          <w:sz w:val="32"/>
          <w:szCs w:val="32"/>
        </w:rPr>
        <w:t>对于</w:t>
      </w:r>
      <w:r>
        <w:rPr>
          <w:rFonts w:hint="eastAsia" w:ascii="Times New Roman" w:hAnsi="Times New Roman" w:eastAsia="方正仿宋简体" w:cs="Times New Roman"/>
          <w:b/>
          <w:bCs/>
          <w:color w:val="000000"/>
          <w:sz w:val="32"/>
          <w:szCs w:val="32"/>
        </w:rPr>
        <w:t>新设的行政处罚条款和部分争议较大的条款，依法组织召开了听证会，加强论证研究，进一步提高公众参与度，增强立法的科学性、民主性、针对性。</w:t>
      </w:r>
      <w:r>
        <w:rPr>
          <w:rFonts w:hint="eastAsia" w:ascii="Times New Roman" w:hAnsi="Times New Roman" w:eastAsia="方正仿宋简体" w:cs="Times New Roman"/>
          <w:b/>
          <w:color w:val="000000"/>
          <w:sz w:val="32"/>
          <w:szCs w:val="32"/>
        </w:rPr>
        <w:t>五是</w:t>
      </w:r>
      <w:r>
        <w:rPr>
          <w:rFonts w:hint="eastAsia" w:ascii="Times New Roman" w:hAnsi="Times New Roman" w:eastAsia="方正仿宋简体" w:cs="Times New Roman"/>
          <w:b/>
          <w:bCs/>
          <w:color w:val="000000"/>
          <w:sz w:val="32"/>
          <w:szCs w:val="32"/>
        </w:rPr>
        <w:t>反复讨论修改。多次</w:t>
      </w:r>
      <w:r>
        <w:rPr>
          <w:rFonts w:hint="eastAsia" w:ascii="Times New Roman" w:hAnsi="Times New Roman" w:eastAsia="方正仿宋简体" w:cs="Times New Roman"/>
          <w:b/>
          <w:color w:val="000000"/>
          <w:sz w:val="32"/>
          <w:szCs w:val="32"/>
        </w:rPr>
        <w:t>召开专题会议，逐条讨论、修改草案文本，与相关部门就重要条款沟通协商，在此基础上，最终形成条例修订草案。</w:t>
      </w:r>
    </w:p>
    <w:p w14:paraId="51E540DA">
      <w:pPr>
        <w:tabs>
          <w:tab w:val="left" w:pos="720"/>
        </w:tabs>
        <w:spacing w:line="600" w:lineRule="exact"/>
        <w:ind w:firstLine="641" w:firstLineChars="200"/>
        <w:rPr>
          <w:rFonts w:ascii="方正黑体简体" w:hAnsi="Times New Roman" w:eastAsia="方正黑体简体" w:cs="Times New Roman"/>
          <w:b/>
          <w:color w:val="000000"/>
          <w:sz w:val="32"/>
          <w:szCs w:val="32"/>
        </w:rPr>
      </w:pPr>
      <w:r>
        <w:rPr>
          <w:rFonts w:hint="eastAsia" w:ascii="方正黑体简体" w:hAnsi="Times New Roman" w:eastAsia="方正黑体简体" w:cs="Times New Roman"/>
          <w:b/>
          <w:color w:val="000000"/>
          <w:sz w:val="32"/>
          <w:szCs w:val="32"/>
        </w:rPr>
        <w:t>三、修订的主要内容</w:t>
      </w:r>
    </w:p>
    <w:p w14:paraId="63386ABE">
      <w:pPr>
        <w:tabs>
          <w:tab w:val="left" w:pos="720"/>
        </w:tabs>
        <w:spacing w:line="600" w:lineRule="exact"/>
        <w:ind w:firstLine="640"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本次修订坚持“小切口、有特色”，学习借鉴兄弟省份地方立法经验，着力解决调研中基层执法单位反映的突出问题，确保“能落实”。名称上，</w:t>
      </w:r>
      <w:r>
        <w:rPr>
          <w:rFonts w:hint="eastAsia" w:ascii="Times New Roman" w:hAnsi="Times New Roman" w:eastAsia="方正仿宋简体" w:cs="Times New Roman"/>
          <w:b/>
          <w:bCs/>
          <w:color w:val="000000"/>
          <w:sz w:val="32"/>
          <w:szCs w:val="32"/>
        </w:rPr>
        <w:t>将《四川省烟草专卖管理条例》修改为《四川省烟草专卖条例》，旨在强化我省法治与服务并重的烟草治理理念，弱化“管理”强制性表述，更利于引导各类社会主体自觉遵守规范。结构上，</w:t>
      </w:r>
      <w:r>
        <w:rPr>
          <w:rFonts w:hint="eastAsia" w:ascii="Times New Roman" w:hAnsi="Times New Roman" w:eastAsia="方正仿宋简体" w:cs="Times New Roman"/>
          <w:b/>
          <w:color w:val="000000"/>
          <w:sz w:val="32"/>
          <w:szCs w:val="32"/>
        </w:rPr>
        <w:t>增加了目录</w:t>
      </w:r>
      <w:r>
        <w:rPr>
          <w:rFonts w:hint="eastAsia" w:ascii="Times New Roman" w:hAnsi="Times New Roman" w:eastAsia="方正仿宋简体" w:cs="Times New Roman"/>
          <w:b/>
          <w:bCs/>
          <w:color w:val="000000"/>
          <w:sz w:val="32"/>
          <w:szCs w:val="32"/>
        </w:rPr>
        <w:t>。内容上，</w:t>
      </w:r>
      <w:r>
        <w:rPr>
          <w:rFonts w:hint="eastAsia" w:ascii="Times New Roman" w:hAnsi="Times New Roman" w:eastAsia="方正仿宋简体" w:cs="Times New Roman"/>
          <w:b/>
          <w:color w:val="000000"/>
          <w:sz w:val="32"/>
          <w:szCs w:val="32"/>
        </w:rPr>
        <w:t>现行条例共</w:t>
      </w:r>
      <w:r>
        <w:rPr>
          <w:rFonts w:ascii="Times New Roman" w:hAnsi="Times New Roman" w:eastAsia="方正仿宋简体" w:cs="Times New Roman"/>
          <w:b/>
          <w:color w:val="000000"/>
          <w:sz w:val="32"/>
          <w:szCs w:val="32"/>
        </w:rPr>
        <w:t>26</w:t>
      </w:r>
      <w:r>
        <w:rPr>
          <w:rFonts w:hint="eastAsia" w:ascii="Times New Roman" w:hAnsi="Times New Roman" w:eastAsia="方正仿宋简体" w:cs="Times New Roman"/>
          <w:b/>
          <w:color w:val="000000"/>
          <w:sz w:val="32"/>
          <w:szCs w:val="32"/>
        </w:rPr>
        <w:t>条，条例修订草案共</w:t>
      </w:r>
      <w:r>
        <w:rPr>
          <w:rFonts w:ascii="Times New Roman" w:hAnsi="Times New Roman" w:eastAsia="方正仿宋简体" w:cs="Times New Roman"/>
          <w:b/>
          <w:color w:val="000000"/>
          <w:sz w:val="32"/>
          <w:szCs w:val="32"/>
        </w:rPr>
        <w:t>37</w:t>
      </w:r>
      <w:r>
        <w:rPr>
          <w:rFonts w:hint="eastAsia" w:ascii="Times New Roman" w:hAnsi="Times New Roman" w:eastAsia="方正仿宋简体" w:cs="Times New Roman"/>
          <w:b/>
          <w:color w:val="000000"/>
          <w:sz w:val="32"/>
          <w:szCs w:val="32"/>
        </w:rPr>
        <w:t>条，</w:t>
      </w:r>
      <w:r>
        <w:rPr>
          <w:rFonts w:hint="eastAsia" w:ascii="Times New Roman" w:hAnsi="Times New Roman" w:eastAsia="方正仿宋简体" w:cs="Times New Roman"/>
          <w:b/>
          <w:bCs/>
          <w:color w:val="000000"/>
          <w:sz w:val="32"/>
          <w:szCs w:val="32"/>
        </w:rPr>
        <w:t>增加了</w:t>
      </w:r>
      <w:r>
        <w:rPr>
          <w:rFonts w:ascii="Times New Roman" w:hAnsi="Times New Roman" w:eastAsia="方正仿宋简体" w:cs="Times New Roman"/>
          <w:b/>
          <w:bCs/>
          <w:color w:val="000000"/>
          <w:sz w:val="32"/>
          <w:szCs w:val="32"/>
        </w:rPr>
        <w:t>11</w:t>
      </w:r>
      <w:r>
        <w:rPr>
          <w:rFonts w:hint="eastAsia" w:ascii="Times New Roman" w:hAnsi="Times New Roman" w:eastAsia="方正仿宋简体" w:cs="Times New Roman"/>
          <w:b/>
          <w:bCs/>
          <w:color w:val="000000"/>
          <w:sz w:val="32"/>
          <w:szCs w:val="32"/>
        </w:rPr>
        <w:t>条，并对部分原有条款作了修改</w:t>
      </w:r>
      <w:r>
        <w:rPr>
          <w:rFonts w:hint="eastAsia" w:ascii="Times New Roman" w:hAnsi="Times New Roman" w:eastAsia="方正仿宋简体" w:cs="Times New Roman"/>
          <w:b/>
          <w:color w:val="000000"/>
          <w:sz w:val="32"/>
          <w:szCs w:val="32"/>
        </w:rPr>
        <w:t>，主要内容包括：</w:t>
      </w:r>
    </w:p>
    <w:p w14:paraId="04370EBB">
      <w:pPr>
        <w:spacing w:line="600" w:lineRule="exact"/>
        <w:ind w:firstLine="643" w:firstLineChars="200"/>
        <w:rPr>
          <w:rFonts w:ascii="Times New Roman" w:hAnsi="Times New Roman" w:eastAsia="方正仿宋简体" w:cs="Times New Roman"/>
          <w:b/>
          <w:bCs/>
          <w:color w:val="000000"/>
          <w:sz w:val="32"/>
          <w:szCs w:val="32"/>
        </w:rPr>
      </w:pPr>
      <w:r>
        <w:rPr>
          <w:rFonts w:hint="eastAsia" w:ascii="方正楷体简体" w:hAnsi="Times New Roman" w:eastAsia="方正楷体简体" w:cs="Times New Roman"/>
          <w:b/>
          <w:bCs/>
          <w:color w:val="000000"/>
          <w:sz w:val="32"/>
          <w:szCs w:val="32"/>
        </w:rPr>
        <w:t>（一）调整了与上位法不相适应的规定。</w:t>
      </w:r>
      <w:r>
        <w:rPr>
          <w:rFonts w:hint="eastAsia" w:ascii="Times New Roman" w:hAnsi="Times New Roman" w:eastAsia="方正仿宋简体" w:cs="Times New Roman"/>
          <w:b/>
          <w:bCs/>
          <w:color w:val="000000"/>
          <w:sz w:val="32"/>
          <w:szCs w:val="32"/>
        </w:rPr>
        <w:t>主要涉及第二条第四款，根据《国务院关于修改〈中华人民共和国烟草专卖法实施条例〉的决定》，将电子烟等新型烟草制品纳入调整对象。第二十一条第二项，根据《中华人民共和国行政处罚法》，调整了证据先行登记保存期限。第二十八条，根据《中华人民共和国未成年人保护法》，调整了向未成年人售烟的处罚措施。同时，增加第十三条未成年人保护专门条款，保障和维护未成年人身体健康和合法权益。</w:t>
      </w:r>
    </w:p>
    <w:p w14:paraId="084E7D1F">
      <w:pPr>
        <w:spacing w:line="600" w:lineRule="exact"/>
        <w:ind w:firstLine="643" w:firstLineChars="200"/>
        <w:rPr>
          <w:rFonts w:ascii="Times New Roman" w:hAnsi="Times New Roman" w:eastAsia="方正仿宋简体" w:cs="Times New Roman"/>
          <w:b/>
          <w:bCs/>
          <w:color w:val="000000"/>
          <w:sz w:val="32"/>
          <w:szCs w:val="32"/>
        </w:rPr>
      </w:pPr>
      <w:r>
        <w:rPr>
          <w:rFonts w:hint="eastAsia" w:ascii="方正楷体简体" w:hAnsi="Times New Roman" w:eastAsia="方正楷体简体" w:cs="Times New Roman"/>
          <w:b/>
          <w:bCs/>
          <w:color w:val="000000"/>
          <w:sz w:val="32"/>
          <w:szCs w:val="32"/>
        </w:rPr>
        <w:t>（二）修改了部门名称和职责的规定。</w:t>
      </w:r>
      <w:r>
        <w:rPr>
          <w:rFonts w:hint="eastAsia" w:ascii="Times New Roman" w:hAnsi="Times New Roman" w:eastAsia="方正仿宋简体" w:cs="Times New Roman"/>
          <w:b/>
          <w:bCs/>
          <w:color w:val="000000"/>
          <w:sz w:val="32"/>
          <w:szCs w:val="32"/>
        </w:rPr>
        <w:t>根据我省优化调整机构设置和职责情况，条例修订草案调整了有关部门名称，进一步明确市场监管、公安、海关、交通运输、邮政管理等相关部门的监管职责，确保我省烟草市场监管全覆盖、无盲区。</w:t>
      </w:r>
    </w:p>
    <w:p w14:paraId="2121FBAF">
      <w:pPr>
        <w:spacing w:line="600" w:lineRule="exact"/>
        <w:ind w:firstLine="643" w:firstLineChars="200"/>
        <w:rPr>
          <w:rFonts w:ascii="Times New Roman" w:hAnsi="Times New Roman" w:eastAsia="方正仿宋简体" w:cs="Times New Roman"/>
          <w:b/>
          <w:bCs/>
          <w:color w:val="000000"/>
          <w:sz w:val="32"/>
          <w:szCs w:val="32"/>
        </w:rPr>
      </w:pPr>
      <w:r>
        <w:rPr>
          <w:rFonts w:hint="eastAsia" w:ascii="方正楷体简体" w:hAnsi="Times New Roman" w:eastAsia="方正楷体简体" w:cs="Times New Roman"/>
          <w:b/>
          <w:bCs/>
          <w:color w:val="000000"/>
          <w:sz w:val="32"/>
          <w:szCs w:val="32"/>
        </w:rPr>
        <w:t>（三）增加和调整了专卖管理的具体措施。</w:t>
      </w:r>
      <w:r>
        <w:rPr>
          <w:rFonts w:hint="eastAsia" w:ascii="Times New Roman" w:hAnsi="Times New Roman" w:eastAsia="方正仿宋简体" w:cs="Times New Roman"/>
          <w:b/>
          <w:bCs/>
          <w:color w:val="000000"/>
          <w:sz w:val="32"/>
          <w:szCs w:val="32"/>
        </w:rPr>
        <w:t>一是体现执法“温度”。第二十七条第一项明确了对违法烟草制品收购的措施，规定无烟草专卖零售许可证经营的烟草制品，可以由烟草专卖行政主管部门按照市场批发价格的百分之七十予以收购，既阻断非法流通，又帮助无证经营户妥善解决烟草去向。二是加大对新型违法行为的打击力度。第二十九条明确了通过自动售货形式和信息网络违法售烟的法律责任，进一步维护烟草专卖制度和消费者权益。三是加强对物流寄递企业的监管。第十六条明确了相关部门职责、协作机制，加大物流寄递环节涉烟违法行为打击力度。四是增加信用管理制度内容。将信用管理制度纳入条例修订草案，为烟草专卖行政主管部门开展信用公示、将失信市场主体列为重点监督检查对象提供法规依据。五是删除涉案假烟、走私烟按批发价计价的标准，解决执法实践中无法查清实际价格时，真品卷烟、假烟、走私烟价格认定标准不一致的问题。</w:t>
      </w:r>
    </w:p>
    <w:p w14:paraId="6107323B">
      <w:pPr>
        <w:spacing w:line="600" w:lineRule="exact"/>
        <w:ind w:firstLine="643" w:firstLineChars="200"/>
        <w:rPr>
          <w:rFonts w:ascii="Times New Roman" w:hAnsi="Times New Roman" w:eastAsia="方正仿宋简体" w:cs="Times New Roman"/>
          <w:b/>
          <w:bCs/>
          <w:color w:val="000000"/>
          <w:sz w:val="32"/>
          <w:szCs w:val="32"/>
        </w:rPr>
      </w:pPr>
      <w:r>
        <w:rPr>
          <w:rFonts w:hint="eastAsia" w:ascii="方正楷体简体" w:hAnsi="Times New Roman" w:eastAsia="方正楷体简体" w:cs="Times New Roman"/>
          <w:b/>
          <w:bCs/>
          <w:color w:val="000000"/>
          <w:sz w:val="32"/>
          <w:szCs w:val="32"/>
        </w:rPr>
        <w:t>（四）在总结工作经验的基础上，增加了体现四川特色的内容。</w:t>
      </w:r>
      <w:r>
        <w:rPr>
          <w:rFonts w:hint="eastAsia" w:ascii="Times New Roman" w:hAnsi="Times New Roman" w:eastAsia="方正仿宋简体" w:cs="Times New Roman"/>
          <w:b/>
          <w:bCs/>
          <w:color w:val="000000"/>
          <w:sz w:val="32"/>
          <w:szCs w:val="32"/>
        </w:rPr>
        <w:t>一是增设烟叶种植与收购专章。立足四川“烟叶大省</w:t>
      </w:r>
      <w:r>
        <w:rPr>
          <w:rFonts w:ascii="Times New Roman" w:hAnsi="Times New Roman" w:eastAsia="方正仿宋简体" w:cs="Times New Roman"/>
          <w:b/>
          <w:bCs/>
          <w:color w:val="000000"/>
          <w:sz w:val="32"/>
          <w:szCs w:val="32"/>
        </w:rPr>
        <w:t>”</w:t>
      </w:r>
      <w:r>
        <w:rPr>
          <w:rFonts w:hint="eastAsia" w:ascii="Times New Roman" w:hAnsi="Times New Roman" w:eastAsia="方正仿宋简体" w:cs="Times New Roman"/>
          <w:b/>
          <w:bCs/>
          <w:color w:val="000000"/>
          <w:sz w:val="32"/>
          <w:szCs w:val="32"/>
        </w:rPr>
        <w:t>实际，增加了烟叶种植与监管、烟田保护条款，进一步规范烟叶管理秩序，夯实烟叶产业高质量发展基础。二是吸收已有行刑衔接工作经验。我省司法机关和省烟草专卖局建立了行刑衔接机制，明确移送范围、畅通衔接程序，打通了重点涉烟违法行为从行政处罚到刑事追责的实践路径，第四条将这一实践经验上升为法规规定。</w:t>
      </w:r>
    </w:p>
    <w:p w14:paraId="574803B4">
      <w:pPr>
        <w:spacing w:line="600" w:lineRule="exact"/>
        <w:ind w:firstLine="640" w:firstLineChars="200"/>
        <w:rPr>
          <w:rFonts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条例修订草案连同以上说明，请审议。</w:t>
      </w:r>
    </w:p>
    <w:p w14:paraId="3F8D0D36">
      <w:pPr>
        <w:jc w:val="left"/>
        <w:rPr>
          <w:rFonts w:ascii="Times New Roman" w:hAnsi="Times New Roman" w:eastAsia="方正仿宋简体" w:cs="Times New Roman"/>
          <w:b/>
        </w:rPr>
      </w:pP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980920093"/>
      <w:docPartObj>
        <w:docPartGallery w:val="AutoText"/>
      </w:docPartObj>
    </w:sdtPr>
    <w:sdtEndPr>
      <w:rPr>
        <w:rFonts w:ascii="Times New Roman" w:hAnsi="Times New Roman" w:cs="Times New Roman"/>
        <w:sz w:val="28"/>
        <w:szCs w:val="28"/>
      </w:rPr>
    </w:sdtEndPr>
    <w:sdtContent>
      <w:p w14:paraId="5DE82E7E">
        <w:pPr>
          <w:pStyle w:val="6"/>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255E9686">
    <w:pPr>
      <w:pStyle w:val="6"/>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ED5DA">
    <w:pPr>
      <w:pStyle w:val="6"/>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9262843"/>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18</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4098BD5C">
    <w:pPr>
      <w:pStyle w:val="6"/>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21"/>
    <w:rsid w:val="00017CFB"/>
    <w:rsid w:val="00054C21"/>
    <w:rsid w:val="00112071"/>
    <w:rsid w:val="00157974"/>
    <w:rsid w:val="001651B1"/>
    <w:rsid w:val="001A53AB"/>
    <w:rsid w:val="001F6BEA"/>
    <w:rsid w:val="00226685"/>
    <w:rsid w:val="003111A1"/>
    <w:rsid w:val="003357D2"/>
    <w:rsid w:val="00365AC4"/>
    <w:rsid w:val="003903E5"/>
    <w:rsid w:val="003F3247"/>
    <w:rsid w:val="00416F23"/>
    <w:rsid w:val="00430E7C"/>
    <w:rsid w:val="004355B3"/>
    <w:rsid w:val="0044650C"/>
    <w:rsid w:val="004C0841"/>
    <w:rsid w:val="00517573"/>
    <w:rsid w:val="005B4A78"/>
    <w:rsid w:val="005C3DD1"/>
    <w:rsid w:val="0062789E"/>
    <w:rsid w:val="00631723"/>
    <w:rsid w:val="006330C0"/>
    <w:rsid w:val="006463B1"/>
    <w:rsid w:val="006A4AC5"/>
    <w:rsid w:val="007167C1"/>
    <w:rsid w:val="007269F0"/>
    <w:rsid w:val="00791888"/>
    <w:rsid w:val="007D7E31"/>
    <w:rsid w:val="007E246D"/>
    <w:rsid w:val="007E452F"/>
    <w:rsid w:val="00894438"/>
    <w:rsid w:val="008C7123"/>
    <w:rsid w:val="00943330"/>
    <w:rsid w:val="009E3055"/>
    <w:rsid w:val="009E7B8A"/>
    <w:rsid w:val="00A063A5"/>
    <w:rsid w:val="00A77AAB"/>
    <w:rsid w:val="00AF03F6"/>
    <w:rsid w:val="00B21778"/>
    <w:rsid w:val="00B5569C"/>
    <w:rsid w:val="00B9349D"/>
    <w:rsid w:val="00C02208"/>
    <w:rsid w:val="00C03476"/>
    <w:rsid w:val="00C05172"/>
    <w:rsid w:val="00C22662"/>
    <w:rsid w:val="00C739B5"/>
    <w:rsid w:val="00C76559"/>
    <w:rsid w:val="00C82713"/>
    <w:rsid w:val="00CB5A68"/>
    <w:rsid w:val="00CC0337"/>
    <w:rsid w:val="00D24FEC"/>
    <w:rsid w:val="00D450B4"/>
    <w:rsid w:val="00D9284C"/>
    <w:rsid w:val="00DD645D"/>
    <w:rsid w:val="00E54A01"/>
    <w:rsid w:val="00E54AEF"/>
    <w:rsid w:val="00E84655"/>
    <w:rsid w:val="00EA58CB"/>
    <w:rsid w:val="00EE03B9"/>
    <w:rsid w:val="00F3775A"/>
    <w:rsid w:val="00F41C6E"/>
    <w:rsid w:val="00F54CB9"/>
    <w:rsid w:val="00F64C52"/>
    <w:rsid w:val="00F72E83"/>
    <w:rsid w:val="00F91353"/>
    <w:rsid w:val="00FA2279"/>
    <w:rsid w:val="00FD2E7E"/>
    <w:rsid w:val="00FE13EB"/>
    <w:rsid w:val="00FE1850"/>
    <w:rsid w:val="4E17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semiHidden/>
    <w:unhideWhenUsed/>
    <w:qFormat/>
    <w:uiPriority w:val="99"/>
    <w:pPr>
      <w:spacing w:after="120"/>
    </w:pPr>
  </w:style>
  <w:style w:type="paragraph" w:styleId="4">
    <w:name w:val="Body Text Indent 2"/>
    <w:basedOn w:val="1"/>
    <w:next w:val="1"/>
    <w:link w:val="19"/>
    <w:qFormat/>
    <w:uiPriority w:val="0"/>
    <w:pPr>
      <w:spacing w:after="120" w:line="480" w:lineRule="auto"/>
      <w:ind w:left="420" w:leftChars="200"/>
    </w:pPr>
    <w:rPr>
      <w:rFonts w:ascii="Times New Roman" w:hAnsi="Times New Roman" w:eastAsia="宋体" w:cs="Times New Roman"/>
      <w:szCs w:val="24"/>
    </w:r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unhideWhenUsed/>
    <w:qFormat/>
    <w:uiPriority w:val="99"/>
    <w:rPr>
      <w:color w:val="666666"/>
      <w:u w:val="none"/>
    </w:rPr>
  </w:style>
  <w:style w:type="character" w:customStyle="1" w:styleId="12">
    <w:name w:val="标题 1 Char"/>
    <w:basedOn w:val="10"/>
    <w:link w:val="2"/>
    <w:uiPriority w:val="9"/>
    <w:rPr>
      <w:rFonts w:ascii="宋体" w:hAnsi="宋体" w:eastAsia="宋体" w:cs="宋体"/>
      <w:b/>
      <w:bCs/>
      <w:kern w:val="36"/>
      <w:sz w:val="48"/>
      <w:szCs w:val="48"/>
    </w:rPr>
  </w:style>
  <w:style w:type="character" w:customStyle="1" w:styleId="13">
    <w:name w:val="span11"/>
    <w:basedOn w:val="10"/>
    <w:qFormat/>
    <w:uiPriority w:val="0"/>
    <w:rPr>
      <w:color w:val="999999"/>
      <w:sz w:val="18"/>
      <w:szCs w:val="18"/>
    </w:rPr>
  </w:style>
  <w:style w:type="character" w:customStyle="1" w:styleId="14">
    <w:name w:val="span21"/>
    <w:basedOn w:val="10"/>
    <w:qFormat/>
    <w:uiPriority w:val="0"/>
    <w:rPr>
      <w:color w:val="666666"/>
      <w:sz w:val="15"/>
      <w:szCs w:val="15"/>
    </w:rPr>
  </w:style>
  <w:style w:type="character" w:customStyle="1" w:styleId="15">
    <w:name w:val="span31"/>
    <w:basedOn w:val="10"/>
    <w:qFormat/>
    <w:uiPriority w:val="0"/>
    <w:rPr>
      <w:color w:val="666666"/>
      <w:sz w:val="18"/>
      <w:szCs w:val="18"/>
    </w:rPr>
  </w:style>
  <w:style w:type="paragraph" w:customStyle="1" w:styleId="1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页眉 Char"/>
    <w:basedOn w:val="10"/>
    <w:link w:val="7"/>
    <w:qFormat/>
    <w:uiPriority w:val="99"/>
    <w:rPr>
      <w:sz w:val="18"/>
      <w:szCs w:val="18"/>
    </w:rPr>
  </w:style>
  <w:style w:type="character" w:customStyle="1" w:styleId="18">
    <w:name w:val="页脚 Char"/>
    <w:basedOn w:val="10"/>
    <w:link w:val="6"/>
    <w:qFormat/>
    <w:uiPriority w:val="99"/>
    <w:rPr>
      <w:sz w:val="18"/>
      <w:szCs w:val="18"/>
    </w:rPr>
  </w:style>
  <w:style w:type="character" w:customStyle="1" w:styleId="19">
    <w:name w:val="正文文本缩进 2 Char"/>
    <w:basedOn w:val="10"/>
    <w:link w:val="4"/>
    <w:qFormat/>
    <w:uiPriority w:val="0"/>
    <w:rPr>
      <w:rFonts w:ascii="Times New Roman" w:hAnsi="Times New Roman" w:eastAsia="宋体" w:cs="Times New Roman"/>
      <w:szCs w:val="24"/>
    </w:rPr>
  </w:style>
  <w:style w:type="paragraph" w:customStyle="1" w:styleId="20">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1">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2">
    <w:name w:val="Default"/>
    <w:qFormat/>
    <w:uiPriority w:val="0"/>
    <w:pPr>
      <w:widowControl w:val="0"/>
      <w:autoSpaceDE w:val="0"/>
      <w:autoSpaceDN w:val="0"/>
      <w:adjustRightInd w:val="0"/>
    </w:pPr>
    <w:rPr>
      <w:rFonts w:ascii="Times New Roman" w:hAnsi="Times New Roman" w:eastAsia="宋体" w:cs="宋体"/>
      <w:color w:val="000000"/>
      <w:kern w:val="0"/>
      <w:sz w:val="24"/>
      <w:szCs w:val="24"/>
      <w:lang w:val="en-US" w:eastAsia="zh-CN" w:bidi="ar-SA"/>
    </w:rPr>
  </w:style>
  <w:style w:type="character" w:customStyle="1" w:styleId="23">
    <w:name w:val="批注框文本 Char"/>
    <w:basedOn w:val="10"/>
    <w:link w:val="5"/>
    <w:semiHidden/>
    <w:qFormat/>
    <w:uiPriority w:val="99"/>
    <w:rPr>
      <w:sz w:val="18"/>
      <w:szCs w:val="18"/>
    </w:rPr>
  </w:style>
  <w:style w:type="character" w:customStyle="1" w:styleId="24">
    <w:name w:val="正文文本 Char"/>
    <w:basedOn w:val="10"/>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16</Pages>
  <Words>7179</Words>
  <Characters>7250</Characters>
  <Lines>53</Lines>
  <Paragraphs>15</Paragraphs>
  <TotalTime>85</TotalTime>
  <ScaleCrop>false</ScaleCrop>
  <LinksUpToDate>false</LinksUpToDate>
  <CharactersWithSpaces>7380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2020-08-03T01:34:00Z</dcterms:created>
  <dc:creator>黄隆月</dc:creator>
  <cp:lastModifiedBy>ViVi</cp:lastModifiedBy>
  <cp:lastPrinted>2025-05-27T09:43:00Z</cp:lastPrinted>
  <dcterms:modified xsi:type="dcterms:W3CDTF">2025-09-30T06:58:48Z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eyJoZGlkIjoiNTFlMGE1NGQxOTE0ZTAxYTA1ZjEyMzAzMDc0NTQwMmEiLCJ1c2VySWQiOiIyMzQzMzI4MDUifQ==</vt:lpwstr>
  </property>
  <property fmtid="{D5CDD505-2E9C-101B-9397-08002B2CF9AE}" pid="3" name="KSOProductBuildVer">
    <vt:lpwstr>2052-12.1.0.22529</vt:lpwstr>
  </property>
  <property fmtid="{D5CDD505-2E9C-101B-9397-08002B2CF9AE}" pid="4" name="ICV">
    <vt:lpwstr>81854E0FB1774A07BACA7D04A93CED35_12</vt:lpwstr>
  </property>
</Properties>
</file>