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32DD6">
      <w:pPr>
        <w:adjustRightInd w:val="0"/>
        <w:snapToGrid w:val="0"/>
        <w:spacing w:line="720" w:lineRule="exact"/>
        <w:rPr>
          <w:rFonts w:hint="eastAsia" w:eastAsia="方正黑体简体"/>
          <w:b/>
          <w:sz w:val="32"/>
          <w:szCs w:val="32"/>
        </w:rPr>
      </w:pPr>
      <w:bookmarkStart w:id="0" w:name="_GoBack"/>
      <w:bookmarkEnd w:id="0"/>
      <w:r>
        <w:rPr>
          <w:rFonts w:hint="eastAsia" w:eastAsia="方正黑体简体"/>
          <w:b/>
          <w:sz w:val="32"/>
          <w:szCs w:val="32"/>
        </w:rPr>
        <w:t>附件</w:t>
      </w:r>
    </w:p>
    <w:p w14:paraId="6071B1F8">
      <w:pPr>
        <w:adjustRightInd w:val="0"/>
        <w:snapToGrid w:val="0"/>
        <w:spacing w:line="720" w:lineRule="exact"/>
        <w:jc w:val="center"/>
        <w:rPr>
          <w:rFonts w:hint="eastAsia" w:ascii="Times New Roman" w:hAnsi="Times New Roman" w:eastAsia="方正小标宋简体" w:cs="Times New Roman"/>
          <w:b/>
          <w:sz w:val="44"/>
          <w:szCs w:val="44"/>
        </w:rPr>
      </w:pPr>
    </w:p>
    <w:p w14:paraId="29B055FE">
      <w:pPr>
        <w:adjustRightInd w:val="0"/>
        <w:snapToGrid w:val="0"/>
        <w:spacing w:line="72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四川省烟草专卖条例（修订草案）</w:t>
      </w:r>
    </w:p>
    <w:p w14:paraId="5AE98324">
      <w:pPr>
        <w:adjustRightInd w:val="0"/>
        <w:snapToGrid w:val="0"/>
        <w:spacing w:line="720" w:lineRule="exact"/>
        <w:jc w:val="center"/>
        <w:rPr>
          <w:rFonts w:ascii="Times New Roman" w:hAnsi="Times New Roman" w:eastAsia="方正楷体简体" w:cs="Times New Roman"/>
          <w:b/>
          <w:sz w:val="28"/>
          <w:szCs w:val="28"/>
        </w:rPr>
      </w:pPr>
      <w:r>
        <w:rPr>
          <w:rFonts w:hint="eastAsia" w:ascii="Times New Roman" w:hAnsi="Times New Roman" w:eastAsia="方正楷体简体" w:cs="Times New Roman"/>
          <w:b/>
          <w:sz w:val="28"/>
          <w:szCs w:val="28"/>
        </w:rPr>
        <w:t>（二次审议稿）</w:t>
      </w:r>
    </w:p>
    <w:p w14:paraId="41336708">
      <w:pPr>
        <w:spacing w:line="580" w:lineRule="exact"/>
        <w:jc w:val="left"/>
        <w:rPr>
          <w:rFonts w:ascii="Times New Roman" w:hAnsi="Times New Roman" w:eastAsia="方正黑体简体" w:cs="Times New Roman"/>
          <w:b/>
          <w:sz w:val="32"/>
          <w:szCs w:val="32"/>
        </w:rPr>
      </w:pPr>
    </w:p>
    <w:p w14:paraId="26651F82">
      <w:pPr>
        <w:topLinePunct/>
        <w:adjustRightInd w:val="0"/>
        <w:snapToGrid w:val="0"/>
        <w:spacing w:line="580" w:lineRule="exact"/>
        <w:jc w:val="center"/>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目</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录</w:t>
      </w:r>
    </w:p>
    <w:p w14:paraId="74D44643">
      <w:pPr>
        <w:topLinePunct/>
        <w:adjustRightInd w:val="0"/>
        <w:snapToGrid w:val="0"/>
        <w:spacing w:line="580" w:lineRule="exact"/>
        <w:jc w:val="center"/>
        <w:rPr>
          <w:rFonts w:ascii="Times New Roman" w:hAnsi="Times New Roman" w:eastAsia="方正楷体简体" w:cs="Times New Roman"/>
          <w:b/>
          <w:sz w:val="32"/>
          <w:szCs w:val="32"/>
        </w:rPr>
      </w:pPr>
    </w:p>
    <w:p w14:paraId="2FC5039D">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第一章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总则</w:t>
      </w:r>
    </w:p>
    <w:p w14:paraId="3FBFC148">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第二章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烟叶种植与收购</w:t>
      </w:r>
    </w:p>
    <w:p w14:paraId="2EFE65A4">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第三章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烟草制品的生产、销售和烟草专卖品的运输</w:t>
      </w:r>
    </w:p>
    <w:p w14:paraId="593F7AA6">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第四章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监督管理</w:t>
      </w:r>
    </w:p>
    <w:p w14:paraId="036DD833">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第五章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法律责任</w:t>
      </w:r>
    </w:p>
    <w:p w14:paraId="2D796619">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r>
        <w:rPr>
          <w:rFonts w:hint="eastAsia" w:ascii="Times New Roman" w:hAnsi="Times New Roman" w:eastAsia="方正楷体简体" w:cs="Times New Roman"/>
          <w:b/>
          <w:sz w:val="32"/>
          <w:szCs w:val="32"/>
        </w:rPr>
        <w:t>第六章</w:t>
      </w:r>
      <w:r>
        <w:rPr>
          <w:rFonts w:ascii="Times New Roman" w:hAnsi="Times New Roman" w:eastAsia="方正楷体简体" w:cs="Times New Roman"/>
          <w:b/>
          <w:sz w:val="32"/>
          <w:szCs w:val="32"/>
        </w:rPr>
        <w:t xml:space="preserve">  </w:t>
      </w:r>
      <w:r>
        <w:rPr>
          <w:rFonts w:hint="eastAsia" w:ascii="Times New Roman" w:hAnsi="Times New Roman" w:eastAsia="方正楷体简体" w:cs="Times New Roman"/>
          <w:b/>
          <w:sz w:val="32"/>
          <w:szCs w:val="32"/>
        </w:rPr>
        <w:t>附则</w:t>
      </w:r>
    </w:p>
    <w:p w14:paraId="708E4E89">
      <w:pPr>
        <w:topLinePunct/>
        <w:adjustRightInd w:val="0"/>
        <w:snapToGrid w:val="0"/>
        <w:spacing w:line="580" w:lineRule="exact"/>
        <w:ind w:firstLine="643" w:firstLineChars="200"/>
        <w:jc w:val="left"/>
        <w:rPr>
          <w:rFonts w:ascii="Times New Roman" w:hAnsi="Times New Roman" w:eastAsia="方正楷体简体" w:cs="Times New Roman"/>
          <w:b/>
          <w:sz w:val="32"/>
          <w:szCs w:val="32"/>
        </w:rPr>
      </w:pPr>
    </w:p>
    <w:p w14:paraId="2CE83690">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第一章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总</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则</w:t>
      </w:r>
    </w:p>
    <w:p w14:paraId="31F36ED6">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第一条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为了加强烟草专卖管理，提高烟草制品质量，维护消费者合法权益，保证国家财政收入，根据《中华人民共和国烟草专卖法》、国务院《中华人民共和国烟草专卖法实施条例》等有关法律、行政法规，结合四川省实际，制定本条例。</w:t>
      </w:r>
    </w:p>
    <w:p w14:paraId="5963614E">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在四川省行政区域内从事烟叶种植和烟草专卖品生产、销售、存储、运输以及专卖管理等活动，适用本条例。</w:t>
      </w:r>
    </w:p>
    <w:p w14:paraId="1E1D3835">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本条例所称烟草专卖品，是指卷烟、雪茄烟、烟丝、复烤烟叶、烟叶、卷烟纸、滤嘴棒、烟用丝束及烟草专用机械。</w:t>
      </w:r>
    </w:p>
    <w:p w14:paraId="61803F4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本条例所称烟草制品，是指卷烟、雪茄烟、烟丝、复烤烟叶。</w:t>
      </w:r>
    </w:p>
    <w:p w14:paraId="69DCBC2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电子烟等新型烟草制品参照本条例卷烟的有关规定执行。</w:t>
      </w:r>
    </w:p>
    <w:p w14:paraId="594A14AA">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县级以上烟草专卖行政主管部门负责本行政区域内的烟草专卖监督管理工作，受上一级烟草专卖行政主管部门和本级人民政府的双重领导，以上一级烟草专卖行政主管部门领导为主。</w:t>
      </w:r>
    </w:p>
    <w:p w14:paraId="6BF35234">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公安、交通运输、市场监管、海关、邮政管理等部门在各自的职责范围内，协同烟草专卖行政主管部门做好烟草专卖监督管理工作。</w:t>
      </w:r>
    </w:p>
    <w:p w14:paraId="67FFB3CE">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第四条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地方各级人民政府和社会有关方面应当加强吸烟（含电子烟等新型烟草制品）危害健康的宣传教育。</w:t>
      </w:r>
    </w:p>
    <w:p w14:paraId="6D70C32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禁止或者限制在公共交通工具和公共场所吸烟，劝阻青少年吸烟，禁止中小学生吸烟。</w:t>
      </w:r>
    </w:p>
    <w:p w14:paraId="3B97505F">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第五条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对检举、协助查处烟草专卖违法案件的单位或者个人，烟草专卖行政主管部门应当依照有关规定给予奖励。</w:t>
      </w:r>
    </w:p>
    <w:p w14:paraId="649BB932">
      <w:pPr>
        <w:spacing w:line="580" w:lineRule="exact"/>
        <w:jc w:val="center"/>
        <w:rPr>
          <w:rFonts w:ascii="Times New Roman" w:hAnsi="Times New Roman" w:eastAsia="方正黑体简体" w:cs="Times New Roman"/>
          <w:b/>
          <w:sz w:val="32"/>
          <w:szCs w:val="32"/>
        </w:rPr>
      </w:pPr>
    </w:p>
    <w:p w14:paraId="294538E2">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第二章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烟叶种植与收购</w:t>
      </w:r>
    </w:p>
    <w:p w14:paraId="3AACCDA3">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第六条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省烟草专卖行政主管部门会同省人民政府有关部门根据国家烟叶种植计划，对烟叶种植实行计划管理、统一规划、合理布局，对特色优质核心烟区、重点烟区和民族地区烟区在技术和资金上予以扶持，优先安排烟叶种植计划。积极推动烟草制品生产企业与烟叶产地联合发展烟叶种植基地。</w:t>
      </w:r>
    </w:p>
    <w:p w14:paraId="0FB68A17">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第七条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烟叶产区人民政府应当做好粮经统筹，在适宜种烟区域范围内，推行科学的粮烟轮作制度，统筹烟田保护与粮食安全和乡村产业振兴。</w:t>
      </w:r>
    </w:p>
    <w:p w14:paraId="3133E9F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第八条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鼓励开展烟叶种植科学研究和技术开发，提高烟叶质量。烟叶种植应当因地制宜培育和推广优良品种。优良品种由当地烟草公司组织供应。</w:t>
      </w:r>
    </w:p>
    <w:p w14:paraId="76CBBDC2">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烟草公司或者其委托单位应当与烟叶种植者签订烟叶收购合同，明确双方权利义务，按照国家规定对烟叶种植面积、烟叶收购价格等内容进行约定。</w:t>
      </w:r>
    </w:p>
    <w:p w14:paraId="1F35CF0E">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第九条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未列入名晾晒烟名录的其他晾晒烟可以在集市贸易市场出售。烟草专卖行政主管部门应当规范未列入名晾晒烟名录的其他晾晒烟的销售流通。</w:t>
      </w:r>
    </w:p>
    <w:p w14:paraId="184272AD">
      <w:pPr>
        <w:spacing w:line="580" w:lineRule="exact"/>
        <w:ind w:firstLine="643" w:firstLineChars="200"/>
        <w:rPr>
          <w:rFonts w:ascii="Times New Roman" w:hAnsi="Times New Roman" w:eastAsia="方正仿宋简体" w:cs="Times New Roman"/>
          <w:b/>
          <w:sz w:val="32"/>
          <w:szCs w:val="32"/>
        </w:rPr>
      </w:pPr>
    </w:p>
    <w:p w14:paraId="3FF835C3">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第三章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烟草制品的生产、销售和烟草专卖品的运输</w:t>
      </w:r>
    </w:p>
    <w:p w14:paraId="7733FDC4">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烟草制品生产企业的设立，应当依法报经国务院烟草专卖行政主管部门批准，取得烟草专卖生产企业许可证。未经批准，任何单位或者个人不得生产烟草制品。</w:t>
      </w:r>
    </w:p>
    <w:p w14:paraId="19662AD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第十一条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从事烟草制品批发业务，应当依法向省级烟草专卖行政主管部门提出申请，经批准取得烟草专卖批发企业许可证并依法取得营业执照后，在规定的经营范围和地域内从事烟草制品的批发业务。</w:t>
      </w:r>
    </w:p>
    <w:p w14:paraId="72779FD1">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从事烟草制品零售业务应当先取得营业执照，再依法向当地烟草专卖行政主管部门提出申请，经批准取得烟草专卖零售许可证后，在烟草专卖零售许可证标明的当地烟草专卖批发企业进货，亮证经营。</w:t>
      </w:r>
    </w:p>
    <w:p w14:paraId="20FD422E">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第十三条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中小学校、幼儿园周边不得设置烟草制品销售网点，禁止向未成年人出售烟草制品。经营者应当在显著位置设置不向未成年人销售烟草制品的标志；对难以判明是否是未成年人的，应当要求其出示身份证件。</w:t>
      </w:r>
    </w:p>
    <w:p w14:paraId="3C866AA1">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第十四条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公民、法人或者其他组织不得利用自动售货机或者其他自动售货形式，销售或者变相销售烟草制品。</w:t>
      </w:r>
    </w:p>
    <w:p w14:paraId="6D8B4948">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除取得烟草专卖生产企业许可证或者烟草专卖批发企业许可证的企业依法销售烟草专卖品外，任何公民、法人或者其他组织不得通过信息网络销售烟草专卖品。</w:t>
      </w:r>
    </w:p>
    <w:p w14:paraId="24B57007">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第十五条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未经国务院烟草专卖行政主管部门批准，不得设立烟草制品集中交易市场。</w:t>
      </w:r>
    </w:p>
    <w:p w14:paraId="4E3A934B">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第十六条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烟草专卖行政主管部门应当会同公安、交通运输、邮政管理等部门建立信息共享、联合执法和线索移交的工作机制，利用信息化手段加强对物流寄递环节烟草专卖品运输的监控和溯源管理。</w:t>
      </w:r>
    </w:p>
    <w:p w14:paraId="2F27E17C">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交通运输、邮政管理等部门应当协同烟草专卖行政主管部门对辖区物流寄递企业开展监督检查，查处物流寄递企业非法贩运烟草专卖品的行为。</w:t>
      </w:r>
    </w:p>
    <w:p w14:paraId="75C83982">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第十七条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禁止销售、运输、存储、寄递走私烟草制品以及为其提供条件。</w:t>
      </w:r>
    </w:p>
    <w:p w14:paraId="4C552E16">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禁止销售出口倒流国产烟、未缴付关税而流出免税店和保税区的烟草制品。</w:t>
      </w:r>
    </w:p>
    <w:p w14:paraId="16C62538">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禁止生产、销售、运输、存储、寄递假冒伪劣烟草制品以及为其提供条件。</w:t>
      </w:r>
    </w:p>
    <w:p w14:paraId="160039E8">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第十八条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省内跨县（市、区）运输烟草专卖品，应当持有省级烟草专卖行政主管部门或者其委托的机构签发的准运证。</w:t>
      </w:r>
    </w:p>
    <w:p w14:paraId="78874E04">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烟草专卖品准运证应当随货同行、证货相符；所运输的烟草专卖品不能使用同一运输工具的，应当分别开具准运证。</w:t>
      </w:r>
    </w:p>
    <w:p w14:paraId="71DDFC63">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任何单位和个人不得为无准运证的单位或者个人承运烟草专卖品。</w:t>
      </w:r>
    </w:p>
    <w:p w14:paraId="7DDE3B93">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第十九条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从事烟草制品零售业务的单位和个人，在发证机关所在地的县级行政区域范围内托运或者自运烟草制品，应当持有当地烟草专卖批发企业或者其委托单位出具的有效购货证明。</w:t>
      </w:r>
    </w:p>
    <w:p w14:paraId="7E1F45F9">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寄递、异地携带烟叶、烟草制品、电子烟产品、雾化物、电子烟用烟碱等，不得超过国务院有关主管部门规定的限量。</w:t>
      </w:r>
    </w:p>
    <w:p w14:paraId="10601D79">
      <w:pPr>
        <w:spacing w:line="580" w:lineRule="exact"/>
        <w:ind w:firstLine="643" w:firstLineChars="200"/>
        <w:rPr>
          <w:rFonts w:ascii="Times New Roman" w:hAnsi="Times New Roman" w:eastAsia="方正仿宋简体" w:cs="Times New Roman"/>
          <w:b/>
          <w:sz w:val="32"/>
          <w:szCs w:val="32"/>
        </w:rPr>
      </w:pPr>
    </w:p>
    <w:p w14:paraId="22BEB2F5">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第四章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监督管理</w:t>
      </w:r>
    </w:p>
    <w:p w14:paraId="65487546">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烟草专卖行政主管部门在依法查处违法案件时，可以行使以下职权：</w:t>
      </w:r>
    </w:p>
    <w:p w14:paraId="6BAA1053">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（一）对违法生产、销售、存储、运输、寄递的烟草专卖品进行检查；</w:t>
      </w:r>
    </w:p>
    <w:p w14:paraId="53FB869F">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（二）对当事人、证人以及有关单位和个人进行调查、询问，并要求其在笔录上签名或者盖章；</w:t>
      </w:r>
    </w:p>
    <w:p w14:paraId="1DC4A3A7">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（三）查阅、抄录或者复制与违法案件有关的合同、发票、账册、单据、记录、文件、业务函电和其他资料；</w:t>
      </w:r>
    </w:p>
    <w:p w14:paraId="552ED57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（四）对涉案烟草专卖品的生产、存储、寄递经营场所和运输工具进行检查，对与违法行为有关的烟草专卖品、工具和其他物品可以先行登记保存。</w:t>
      </w:r>
    </w:p>
    <w:p w14:paraId="6F1F7899">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第二十一条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烟草专卖行政执法人员在执行公务时，应当遵守以下规定：</w:t>
      </w:r>
    </w:p>
    <w:p w14:paraId="2CD8C9B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（一）执法时不得少于两名执法人员，并应当按照规定佩戴徽章，出示证件；</w:t>
      </w:r>
    </w:p>
    <w:p w14:paraId="4A030CCD">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收集证据时，可以采取抽样取证的方法；在证据可能灭失或者以后难以取得的情况下，经本级烟草专卖行政主管部门负责人批准，可以先行登记保存，并应当在七日内及时作出处理决定，在此期间，当事人或者有关人员不得销毁或者转移证据。</w:t>
      </w:r>
    </w:p>
    <w:p w14:paraId="5C857A0E">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第二十二条</w:t>
      </w:r>
      <w:r>
        <w:rPr>
          <w:rFonts w:ascii="Times New Roman" w:hAnsi="Times New Roman" w:eastAsia="方正楷体简体" w:cs="Times New Roman"/>
          <w:b/>
          <w:sz w:val="32"/>
          <w:szCs w:val="32"/>
        </w:rPr>
        <w:t xml:space="preserve"> </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当事人在其烟草专卖品或者涉案物资被烟草专卖行政主管部门登记保存后，不接受调查处理的，经烟草专卖行政主管部门书面通知或者自公告通知之日起满六十日仍不接受调查处理的，按照国家有关规定处理。</w:t>
      </w:r>
    </w:p>
    <w:p w14:paraId="2E65DFF1">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第二十三条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烟草专卖行政主管部门应当会同司法机关完善行政执法与刑事司法衔接机制，将涉嫌犯罪的案件及时移送公安机关处理。</w:t>
      </w:r>
    </w:p>
    <w:p w14:paraId="6D7192A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司法机关、公安机关办理涉烟案件，对可能涉及行政处罚或者需要对涉案烟草专卖品处置的，应当移送烟草专卖行政主管部门依法处理。</w:t>
      </w:r>
    </w:p>
    <w:p w14:paraId="20A83C12">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第二十四条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烟草专卖行政主管部门应当加强对烟草制品、新型烟草制品的监管，会同市场监管、教育等相关部门加强类烟产品以及烟草制品衍生品的监管，保护未成年人免受烟草侵害。</w:t>
      </w:r>
    </w:p>
    <w:p w14:paraId="43311E0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第二十五条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烟草专卖行政主管部门应当依法将失信信息纳入国家企业信用信息公示系统、省社会信用信息服务平台，予以公示，依法实施守信激励和失信惩戒。</w:t>
      </w:r>
    </w:p>
    <w:p w14:paraId="74BFE97D">
      <w:pPr>
        <w:spacing w:line="580" w:lineRule="exact"/>
        <w:jc w:val="center"/>
        <w:rPr>
          <w:rFonts w:ascii="Times New Roman" w:hAnsi="Times New Roman" w:eastAsia="方正黑体简体" w:cs="Times New Roman"/>
          <w:b/>
          <w:sz w:val="32"/>
          <w:szCs w:val="32"/>
        </w:rPr>
      </w:pPr>
    </w:p>
    <w:p w14:paraId="62DF286D">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第五章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法律责任</w:t>
      </w:r>
    </w:p>
    <w:p w14:paraId="5CA7876C">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第二十六条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违反本条例规定的行为，法律法规已有法律责任规定的，从其规定。</w:t>
      </w:r>
    </w:p>
    <w:p w14:paraId="5E758AB5">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第二十七条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生产、销售、存储假冒伪劣烟草制品的，烟草专卖行政主管部门或者市场监管部门责令其停止违法行为，没收其生产、销售、存储的烟草制品和违法所得以及用于生产、销售的工具、设备和其他相关物资，可以并处生产、销售、存储烟草制品货值一倍以上二倍以下罚款，构成犯罪的，依法追究刑事责任。</w:t>
      </w:r>
    </w:p>
    <w:p w14:paraId="079CB575">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为假冒伪劣烟草制品的生产、销售、存储提供场地、运输服务及条件的，没收违法所得，可以并处二千元以上五万元以下罚款；构成犯罪的，依法追究刑事责任。</w:t>
      </w:r>
    </w:p>
    <w:p w14:paraId="7FC55FE7">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第二十八条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经营者违反本条例第十二条规定的，按照下列规定处罚：</w:t>
      </w:r>
    </w:p>
    <w:p w14:paraId="461E5A71">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一）无烟草专卖零售许可证经营烟草制品零售业务的，由市场监管部门或者烟草专卖行政主管部门责令其停止经营烟草制品零售业务，没收违法所得，处违法经营总额百分之二十以上百分之五十以下罚款。违法经营的烟草制品可以由烟草专卖行政主管部门按照市场批发价的百分之七十予以收购。</w:t>
      </w:r>
    </w:p>
    <w:p w14:paraId="42FC9DE5">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（二）烟草专卖零售经营者未亮证经营的，由烟草专卖行政主管部门责令改正；拒不改正的，处五十元以上二百元以下罚款。</w:t>
      </w:r>
    </w:p>
    <w:p w14:paraId="065F8468">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第二十九条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违反本条例第十三条规定，向未成年人出售烟草制品的，由烟草专卖行政主管部门责令限期改正，给予警告，没收违法所得，可以并处五万元以下罚款；拒不改正或者情节严重的，责令停业整顿或者吊销烟草专卖许可证，可以并处五万元以上五十万元以下罚款。</w:t>
      </w:r>
    </w:p>
    <w:p w14:paraId="7BC7E3B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违反本条例第十四条规定，利用自动售货机或者其他自动售货形式，销售或者变相销售烟草制品，或者通过信息网络销售烟草专卖品的，由烟草专卖行政主管部门责令改正，处三万元以上十万元以下罚款。</w:t>
      </w:r>
      <w:r>
        <w:rPr>
          <w:rFonts w:ascii="Times New Roman" w:hAnsi="Times New Roman" w:eastAsia="方正仿宋简体" w:cs="Times New Roman"/>
          <w:b/>
          <w:sz w:val="32"/>
          <w:szCs w:val="32"/>
        </w:rPr>
        <w:t xml:space="preserve">  </w:t>
      </w:r>
    </w:p>
    <w:p w14:paraId="48D1AA43">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取得烟草专卖零售许可证的单位或者个人利用自动售货机或者其他自动售货形式销售或者变相销售烟草制品，或者通过信息网络销售烟草专卖品的，除按本条第一款予以罚款外，并责令持证人暂停烟草专卖业务、进行改正，拒不改正或者改正不符合要求的，依法吊销其烟草专卖零售许可证。</w:t>
      </w:r>
    </w:p>
    <w:p w14:paraId="7B62B58C">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第三十一条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违反本条例第十七条规定，销售走私烟草制品、出口倒流国产烟、未缴付关税而流出免税店和保税区的烟草制品的，由海关、烟草专卖行政主管部门或者市场监管部门责令其停止销售，没收违法经营的烟草制品和违法所得，并处违法经营总额一倍以上三倍以下罚款；构成犯罪的，依法追究刑事责任。</w:t>
      </w:r>
    </w:p>
    <w:p w14:paraId="46F6880C">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为走私烟草制品、出口倒流国产烟、未缴付关税而流出免税店和保税区的烟草制品提供存储、运输服务及条件的，没收违法所得，可并处二千元以上五万元以下罚款；构成犯罪的，依法追究刑事责任。</w:t>
      </w:r>
    </w:p>
    <w:p w14:paraId="03335866">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第三十二条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烟草专卖零售经营者因违法经营一年内被处罚两次以上的，或者拒绝、阻碍烟草专卖行政主管部门执法，经责令改正仍然拒绝、阻碍执法的，烟草专卖行政主管部门可以吊销其烟草专卖零售许可证。</w:t>
      </w:r>
    </w:p>
    <w:p w14:paraId="2F6ADDA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第三十三条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烟草专卖行政主管部门工作人员滥用职权、玩忽职守、徇私舞弊的，依法给予处分；构成犯罪的，依法追究刑事责任；给当事人造成损失的，依法予以赔偿。</w:t>
      </w:r>
    </w:p>
    <w:p w14:paraId="77D04A12">
      <w:pPr>
        <w:spacing w:line="580" w:lineRule="exact"/>
        <w:ind w:firstLine="643" w:firstLineChars="200"/>
        <w:rPr>
          <w:rFonts w:ascii="Times New Roman" w:hAnsi="Times New Roman" w:eastAsia="方正仿宋简体" w:cs="Times New Roman"/>
          <w:b/>
          <w:sz w:val="32"/>
          <w:szCs w:val="32"/>
        </w:rPr>
      </w:pPr>
    </w:p>
    <w:p w14:paraId="2E0724E0">
      <w:pPr>
        <w:spacing w:line="580" w:lineRule="exact"/>
        <w:jc w:val="center"/>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第六章</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附</w:t>
      </w:r>
      <w:r>
        <w:rPr>
          <w:rFonts w:ascii="Times New Roman" w:hAnsi="Times New Roman" w:eastAsia="方正黑体简体" w:cs="Times New Roman"/>
          <w:b/>
          <w:sz w:val="32"/>
          <w:szCs w:val="32"/>
        </w:rPr>
        <w:t xml:space="preserve">  </w:t>
      </w:r>
      <w:r>
        <w:rPr>
          <w:rFonts w:hint="eastAsia" w:ascii="Times New Roman" w:hAnsi="Times New Roman" w:eastAsia="方正黑体简体" w:cs="Times New Roman"/>
          <w:b/>
          <w:sz w:val="32"/>
          <w:szCs w:val="32"/>
        </w:rPr>
        <w:t>则</w:t>
      </w:r>
    </w:p>
    <w:p w14:paraId="094DABD0">
      <w:pPr>
        <w:spacing w:line="580" w:lineRule="exact"/>
        <w:ind w:firstLine="643" w:firstLineChars="200"/>
        <w:rPr>
          <w:rFonts w:ascii="Times New Roman" w:hAnsi="Times New Roman" w:eastAsia="方正仿宋简体" w:cs="Times New Roman"/>
          <w:b/>
          <w:sz w:val="32"/>
          <w:szCs w:val="32"/>
        </w:rPr>
      </w:pPr>
      <w:r>
        <w:rPr>
          <w:rFonts w:hint="eastAsia" w:ascii="Times New Roman" w:hAnsi="Times New Roman" w:eastAsia="方正楷体简体" w:cs="Times New Roman"/>
          <w:b/>
          <w:sz w:val="32"/>
          <w:szCs w:val="32"/>
        </w:rPr>
        <w:t>第三十四条</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本条例自</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年</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月</w:t>
      </w:r>
      <w:r>
        <w:rPr>
          <w:rFonts w:ascii="Times New Roman" w:hAnsi="Times New Roman" w:eastAsia="方正仿宋简体" w:cs="Times New Roman"/>
          <w:b/>
          <w:sz w:val="32"/>
          <w:szCs w:val="32"/>
        </w:rPr>
        <w:t xml:space="preserve">  </w:t>
      </w:r>
      <w:r>
        <w:rPr>
          <w:rFonts w:hint="eastAsia" w:ascii="Times New Roman" w:hAnsi="Times New Roman" w:eastAsia="方正仿宋简体" w:cs="Times New Roman"/>
          <w:b/>
          <w:sz w:val="32"/>
          <w:szCs w:val="32"/>
        </w:rPr>
        <w:t>日起施行。</w:t>
      </w:r>
    </w:p>
    <w:p w14:paraId="3CA5B7C9">
      <w:pPr>
        <w:overflowPunct w:val="0"/>
        <w:adjustRightInd w:val="0"/>
        <w:snapToGrid w:val="0"/>
        <w:spacing w:line="580" w:lineRule="exact"/>
        <w:jc w:val="left"/>
        <w:rPr>
          <w:rFonts w:ascii="Times New Roman" w:hAnsi="Times New Roman" w:eastAsia="方正仿宋简体" w:cs="Times New Roman"/>
          <w:b/>
          <w:sz w:val="32"/>
          <w:szCs w:val="32"/>
        </w:rPr>
      </w:pPr>
    </w:p>
    <w:p w14:paraId="5676BB5F">
      <w:pPr>
        <w:widowControl/>
        <w:shd w:val="clear" w:color="auto" w:fill="FFFFFF"/>
        <w:snapToGrid w:val="0"/>
        <w:spacing w:line="720" w:lineRule="exact"/>
        <w:rPr>
          <w:rFonts w:ascii="Times New Roman" w:hAnsi="Times New Roman" w:eastAsia="方正仿宋简体" w:cs="Times New Roman"/>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3A38FC13">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23ED158">
    <w:pPr>
      <w:pStyle w:val="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0AF4">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08618194">
    <w:pPr>
      <w:pStyle w:val="6"/>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57974"/>
    <w:rsid w:val="001651B1"/>
    <w:rsid w:val="001A53AB"/>
    <w:rsid w:val="001F1370"/>
    <w:rsid w:val="00226685"/>
    <w:rsid w:val="003111A1"/>
    <w:rsid w:val="003357D2"/>
    <w:rsid w:val="0033688D"/>
    <w:rsid w:val="00354D0C"/>
    <w:rsid w:val="00365AC4"/>
    <w:rsid w:val="003903E5"/>
    <w:rsid w:val="003F3247"/>
    <w:rsid w:val="00416F23"/>
    <w:rsid w:val="00430E7C"/>
    <w:rsid w:val="004355B3"/>
    <w:rsid w:val="0044650C"/>
    <w:rsid w:val="004C0841"/>
    <w:rsid w:val="004C7F21"/>
    <w:rsid w:val="00517573"/>
    <w:rsid w:val="005B4A78"/>
    <w:rsid w:val="005B63BE"/>
    <w:rsid w:val="005C3DD1"/>
    <w:rsid w:val="0062789E"/>
    <w:rsid w:val="00631723"/>
    <w:rsid w:val="006330C0"/>
    <w:rsid w:val="006463B1"/>
    <w:rsid w:val="006A4AC5"/>
    <w:rsid w:val="007167C1"/>
    <w:rsid w:val="007269F0"/>
    <w:rsid w:val="00730057"/>
    <w:rsid w:val="00791888"/>
    <w:rsid w:val="007D7E31"/>
    <w:rsid w:val="007E246D"/>
    <w:rsid w:val="007E452F"/>
    <w:rsid w:val="008C7123"/>
    <w:rsid w:val="00943330"/>
    <w:rsid w:val="009E3055"/>
    <w:rsid w:val="009E7B8A"/>
    <w:rsid w:val="00A063A5"/>
    <w:rsid w:val="00A77AAB"/>
    <w:rsid w:val="00AB4933"/>
    <w:rsid w:val="00AF03F6"/>
    <w:rsid w:val="00B21778"/>
    <w:rsid w:val="00B51A44"/>
    <w:rsid w:val="00B5569C"/>
    <w:rsid w:val="00B9349D"/>
    <w:rsid w:val="00C02208"/>
    <w:rsid w:val="00C03403"/>
    <w:rsid w:val="00C03476"/>
    <w:rsid w:val="00C05172"/>
    <w:rsid w:val="00C22662"/>
    <w:rsid w:val="00C739B5"/>
    <w:rsid w:val="00C76559"/>
    <w:rsid w:val="00C82713"/>
    <w:rsid w:val="00CB5A68"/>
    <w:rsid w:val="00CC0337"/>
    <w:rsid w:val="00D24FEC"/>
    <w:rsid w:val="00D450B4"/>
    <w:rsid w:val="00D9284C"/>
    <w:rsid w:val="00E54A01"/>
    <w:rsid w:val="00E54AEF"/>
    <w:rsid w:val="00EE03B9"/>
    <w:rsid w:val="00F35DF6"/>
    <w:rsid w:val="00F3775A"/>
    <w:rsid w:val="00F41C6E"/>
    <w:rsid w:val="00F54CB9"/>
    <w:rsid w:val="00F64C52"/>
    <w:rsid w:val="00F72E83"/>
    <w:rsid w:val="00F91353"/>
    <w:rsid w:val="00FA2279"/>
    <w:rsid w:val="00FD2E7E"/>
    <w:rsid w:val="00FE13EB"/>
    <w:rsid w:val="00FE1850"/>
    <w:rsid w:val="2A9C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24"/>
    <w:semiHidden/>
    <w:unhideWhenUsed/>
    <w:qFormat/>
    <w:uiPriority w:val="99"/>
    <w:pPr>
      <w:spacing w:after="120"/>
    </w:pPr>
  </w:style>
  <w:style w:type="paragraph" w:styleId="4">
    <w:name w:val="Body Text Indent 2"/>
    <w:basedOn w:val="1"/>
    <w:next w:val="1"/>
    <w:link w:val="19"/>
    <w:qFormat/>
    <w:uiPriority w:val="0"/>
    <w:pPr>
      <w:spacing w:after="120" w:line="480" w:lineRule="auto"/>
      <w:ind w:left="420" w:leftChars="200"/>
    </w:pPr>
    <w:rPr>
      <w:rFonts w:ascii="Times New Roman" w:hAnsi="Times New Roman" w:eastAsia="宋体" w:cs="Times New Roman"/>
      <w:szCs w:val="24"/>
    </w:rPr>
  </w:style>
  <w:style w:type="paragraph" w:styleId="5">
    <w:name w:val="Balloon Text"/>
    <w:basedOn w:val="1"/>
    <w:link w:val="23"/>
    <w:semiHidden/>
    <w:unhideWhenUsed/>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uiPriority w:val="99"/>
    <w:rPr>
      <w:color w:val="666666"/>
      <w:u w:val="none"/>
    </w:rPr>
  </w:style>
  <w:style w:type="character" w:customStyle="1" w:styleId="12">
    <w:name w:val="标题 1 Char"/>
    <w:basedOn w:val="10"/>
    <w:link w:val="2"/>
    <w:uiPriority w:val="9"/>
    <w:rPr>
      <w:rFonts w:ascii="宋体" w:hAnsi="宋体" w:eastAsia="宋体" w:cs="宋体"/>
      <w:b/>
      <w:bCs/>
      <w:kern w:val="36"/>
      <w:sz w:val="48"/>
      <w:szCs w:val="48"/>
    </w:rPr>
  </w:style>
  <w:style w:type="character" w:customStyle="1" w:styleId="13">
    <w:name w:val="span11"/>
    <w:basedOn w:val="10"/>
    <w:uiPriority w:val="0"/>
    <w:rPr>
      <w:color w:val="999999"/>
      <w:sz w:val="18"/>
      <w:szCs w:val="18"/>
    </w:rPr>
  </w:style>
  <w:style w:type="character" w:customStyle="1" w:styleId="14">
    <w:name w:val="span21"/>
    <w:basedOn w:val="10"/>
    <w:uiPriority w:val="0"/>
    <w:rPr>
      <w:color w:val="666666"/>
      <w:sz w:val="15"/>
      <w:szCs w:val="15"/>
    </w:rPr>
  </w:style>
  <w:style w:type="character" w:customStyle="1" w:styleId="15">
    <w:name w:val="span31"/>
    <w:basedOn w:val="10"/>
    <w:uiPriority w:val="0"/>
    <w:rPr>
      <w:color w:val="666666"/>
      <w:sz w:val="18"/>
      <w:szCs w:val="18"/>
    </w:rPr>
  </w:style>
  <w:style w:type="paragraph" w:customStyle="1" w:styleId="16">
    <w:name w:val="正文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眉 Char"/>
    <w:basedOn w:val="10"/>
    <w:link w:val="7"/>
    <w:uiPriority w:val="99"/>
    <w:rPr>
      <w:sz w:val="18"/>
      <w:szCs w:val="18"/>
    </w:rPr>
  </w:style>
  <w:style w:type="character" w:customStyle="1" w:styleId="18">
    <w:name w:val="页脚 Char"/>
    <w:basedOn w:val="10"/>
    <w:link w:val="6"/>
    <w:uiPriority w:val="99"/>
    <w:rPr>
      <w:sz w:val="18"/>
      <w:szCs w:val="18"/>
    </w:rPr>
  </w:style>
  <w:style w:type="character" w:customStyle="1" w:styleId="19">
    <w:name w:val="正文文本缩进 2 Char"/>
    <w:basedOn w:val="10"/>
    <w:link w:val="4"/>
    <w:uiPriority w:val="0"/>
    <w:rPr>
      <w:rFonts w:ascii="Times New Roman" w:hAnsi="Times New Roman" w:eastAsia="宋体" w:cs="Times New Roman"/>
      <w:szCs w:val="24"/>
    </w:rPr>
  </w:style>
  <w:style w:type="paragraph" w:customStyle="1" w:styleId="2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1">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2">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3">
    <w:name w:val="批注框文本 Char"/>
    <w:basedOn w:val="10"/>
    <w:link w:val="5"/>
    <w:semiHidden/>
    <w:qFormat/>
    <w:uiPriority w:val="99"/>
    <w:rPr>
      <w:sz w:val="18"/>
      <w:szCs w:val="18"/>
    </w:rPr>
  </w:style>
  <w:style w:type="character" w:customStyle="1" w:styleId="24">
    <w:name w:val="正文文本 Char"/>
    <w:basedOn w:val="10"/>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4431</Words>
  <Characters>4461</Characters>
  <Lines>33</Lines>
  <Paragraphs>9</Paragraphs>
  <TotalTime>95</TotalTime>
  <ScaleCrop>false</ScaleCrop>
  <LinksUpToDate>false</LinksUpToDate>
  <CharactersWithSpaces>4579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2025-05-27T09:43:00Z</cp:lastPrinted>
  <dcterms:modified xsi:type="dcterms:W3CDTF">2025-11-26T08:58:50Z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2052-12.1.0.23542</vt:lpwstr>
  </property>
  <property fmtid="{D5CDD505-2E9C-101B-9397-08002B2CF9AE}" pid="4" name="ICV">
    <vt:lpwstr>BDB4516C8BA74F3EB919A72212090CFE_12</vt:lpwstr>
  </property>
</Properties>
</file>